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466" w:rsidRDefault="000F3466"/>
    <w:p w:rsidR="00852A29" w:rsidRDefault="00852A29" w:rsidP="00680908">
      <w:pPr>
        <w:jc w:val="center"/>
      </w:pPr>
      <w:r>
        <w:t>«</w:t>
      </w:r>
      <w:proofErr w:type="spellStart"/>
      <w:r>
        <w:t>Στοχευμένες</w:t>
      </w:r>
      <w:proofErr w:type="spellEnd"/>
      <w:r>
        <w:t xml:space="preserve"> Δράσεις για την Αύξησ</w:t>
      </w:r>
      <w:bookmarkStart w:id="0" w:name="_GoBack"/>
      <w:bookmarkEnd w:id="0"/>
      <w:r>
        <w:t>η της Προστασίας των Εθνικά Χαρακτηρισμένων Ευρωπαϊκών Υποδομών Ζωτικής  Σημασίας»</w:t>
      </w:r>
    </w:p>
    <w:p w:rsidR="00852A29" w:rsidRDefault="00852A29" w:rsidP="00852A29">
      <w:pPr>
        <w:jc w:val="both"/>
      </w:pPr>
      <w:r>
        <w:t xml:space="preserve">Το ΚΕ.ΜΕ.Α., υλοποιεί τη Δράση με τίτλο «Στοχευμένες Δράσεις για την Αύξηση της Προστασίας των Εθνικά Χαρακτηρισμένων Ευρωπαϊκών Υποδομών Ζωτικής  Σημασίας» λαμβάνοντας υπόψη α. την υπ' αριθ. 268 από 8/08/2016 συνεδρίαση του Δ.Σ. του, β. το Π.Δ. 118/2007 (ΦΕΚ 150/Α/10.07.2007) Κανονισμός Προμηθειών Δημοσίου, γ. τον κανονισμό (ΕΕ) αριθ. 513/2014 του Ευρωπαϊκού Κοινοβουλίου και του Συμβουλίου της 16ης Απριλίου 2014 για τη θέσπιση, στο πλαίσιο του Ταμείου Εσωτερικής Ασφάλειας, του μέσου για τη χρηματοδοτική στήριξη της αστυνομικής συνεργασίας, της πρόληψης και καταστολής της εγκληματικότητας και της διαχείρισης των κρίσεων, και για την κατάργηση της απόφασης 2007/125/ΔΕΥ του Συμβουλίου, δ. τον Κανονισμό (ΕΕ) αριθ. 514/2014 του Ευρωπαϊκού Κοινοβουλίου και του Συμβουλίου της 16ης Απριλίου 2014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και ε. την υπ’ αριθμ. ISF-P/90/1-κγ από 14/06/2016 Απόφαση Χορήγησης της Δράσης «Στοχευμένες 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Ασφαλείας/Τομέας Αστυνομικής Συνεργασίας 2014-2020.    </w:t>
      </w:r>
    </w:p>
    <w:p w:rsidR="00852A29" w:rsidRPr="00852A29" w:rsidRDefault="00852A29" w:rsidP="00852A29">
      <w:pPr>
        <w:jc w:val="both"/>
        <w:rPr>
          <w:b/>
          <w:u w:val="single"/>
        </w:rPr>
      </w:pPr>
      <w:r w:rsidRPr="00852A29">
        <w:rPr>
          <w:b/>
          <w:u w:val="single"/>
        </w:rPr>
        <w:t xml:space="preserve">Περίληψη Δράσης   </w:t>
      </w:r>
    </w:p>
    <w:p w:rsidR="00852A29" w:rsidRDefault="00852A29" w:rsidP="00852A29">
      <w:pPr>
        <w:jc w:val="both"/>
      </w:pPr>
      <w:r>
        <w:t xml:space="preserve">Η Δράση περιλαμβάνει μια σειρά συμπληρωματικών δράσεων και παραδοτέων που αναπτύσσονται διεξοδικά στη συνέχεια, με σκοπό να προσφέρουν ένα κοινά αποδεκτό επίπεδο ασφάλειας και προστασίας στις Υποδομές Ζωτικής Σημασίας (Υ.Ζ.Σ.), το οποίο θα προέλθει από συνεχή συνεργασία των φορέων που είναι επιφορτισμένοι με την Ασφάλεια και την προστασία των πολιτών με τους λειτουργούς και υπεύθυνους Ασφάλειας των Υ.Ζ.Σ., ώστε να καθοριστεί ένα πλαίσιο συνεργασίας μεταξύ των εμπλεκομένων, που εντέλει θα ενισχύσει την ανθεκτικότητα των υποδομών έναντι πολλαπλών κινδύνων (all hazards approach) και της κοινωνίας, της οποίας οι υποδομές ζωτικής σημασίας αποτελούν βασικό πυλώνα λειτουργίας.  </w:t>
      </w:r>
    </w:p>
    <w:p w:rsidR="00852A29" w:rsidRDefault="00852A29" w:rsidP="00852A29">
      <w:pPr>
        <w:jc w:val="both"/>
      </w:pPr>
      <w:r>
        <w:t xml:space="preserve">Οι ενότητες (Πακέτα Εργασίας) της προτεινόμενης δράσης είναι:  </w:t>
      </w:r>
    </w:p>
    <w:p w:rsidR="00852A29" w:rsidRPr="00852A29" w:rsidRDefault="00852A29" w:rsidP="00852A29">
      <w:pPr>
        <w:jc w:val="both"/>
        <w:rPr>
          <w:b/>
          <w:i/>
        </w:rPr>
      </w:pPr>
      <w:r w:rsidRPr="00852A29">
        <w:rPr>
          <w:b/>
          <w:i/>
        </w:rPr>
        <w:t xml:space="preserve">Πακέτο Εργασίας 0: Διοίκηση και Συντονισμός έργου  </w:t>
      </w:r>
    </w:p>
    <w:p w:rsidR="00852A29" w:rsidRDefault="00852A29" w:rsidP="00852A29">
      <w:pPr>
        <w:jc w:val="both"/>
      </w:pPr>
      <w:r w:rsidRPr="00852A29">
        <w:t xml:space="preserve">Ε0.1 Διοικητική και οικονομική διαχείριση του έργου με την υποβολή ετησίων εκθέσεων προόδου φυσικού και οικονομικού αντικειμένου. Ε0.2 Διμηνιαίες συναντήσεις της ομάδας έργου και τριμηνιαία παρουσίαση των πακέτων εργασίας. Ε0.3 Εσωτερική και εξωτερική αξιολόγηση του έργου. Η εσωτερική αξιολόγηση θα πραγματοποιηθεί με τη συμπλήρωση ποιοτικών και ποσοτικών ερωτηματολογίων από τους εμπλεκομένους από τις ομάδες στόχο. Η εξωτερική αξιολόγηση θα πραγματοποιηθεί από εξωτερικό αξιολογητή για την επιλογή του οποίου θα υπάρξει ειδική πρόσκληση ενδιαφέροντος.  </w:t>
      </w:r>
    </w:p>
    <w:p w:rsidR="00852A29" w:rsidRDefault="00852A29" w:rsidP="00852A29">
      <w:pPr>
        <w:jc w:val="both"/>
      </w:pPr>
      <w:r w:rsidRPr="00852A29">
        <w:rPr>
          <w:b/>
          <w:i/>
        </w:rPr>
        <w:lastRenderedPageBreak/>
        <w:t>Πακέτο Εργασίας 1: Οδικός χάρτης για την προστασία Υ.Ζ.Σ.</w:t>
      </w:r>
    </w:p>
    <w:p w:rsidR="00852A29" w:rsidRDefault="00852A29" w:rsidP="00852A29">
      <w:pPr>
        <w:jc w:val="both"/>
      </w:pPr>
      <w:r w:rsidRPr="00852A29">
        <w:t xml:space="preserve">E1.1 Δημιουργία οδικού χάρτη για την προστασία Υ.Ζ.Σ., όπου θα περιλαμβάνει καταγραφή εμπλεκομένων φορέων, νομικού πλαισίου και ευρωπαϊκών δράσεων, αποτελέσματα σχετικών ερευνητικών και αναπτυξιακών έργων, δυνητικές χρηματοδοτήσεις, επερχόμενα συνέδρια και ημερίδες, κ.λπ..  </w:t>
      </w:r>
    </w:p>
    <w:p w:rsidR="00852A29" w:rsidRDefault="00852A29" w:rsidP="00852A29">
      <w:pPr>
        <w:jc w:val="both"/>
        <w:rPr>
          <w:b/>
          <w:i/>
        </w:rPr>
      </w:pPr>
      <w:r w:rsidRPr="00852A29">
        <w:rPr>
          <w:b/>
          <w:i/>
        </w:rPr>
        <w:t>Πακέτο Εργασίας 2:  Πρότυπα Σχέδια προστασίας Ε.Υ.Ζ.Σ.</w:t>
      </w:r>
    </w:p>
    <w:p w:rsidR="00852A29" w:rsidRDefault="00852A29" w:rsidP="00852A29">
      <w:pPr>
        <w:jc w:val="both"/>
      </w:pPr>
      <w:r w:rsidRPr="00852A29">
        <w:t xml:space="preserve"> Ε2.1 Πρότυπο Σχέδιο Εκτίμησης Επικινδυνότητας Ε.Υ.Ζ.Σ. που θα βασίζεται σε κοινή προσέγγιση έναντι όλων των ειδών απειλής.  Ε2.2 Πρότυπο Σχέδιο Εκτίμησης Τρωτότητας Ε.Υ.Ζ.Σ., που θα βασίζεται σε κοινή προσέγγιση αναγνώρισης των τρωτών σημείων των υποδομών. Ε2.3 Πρότυπο Σχέδιο Αναφοράς Ασφαλείας Λειτουργίας Ε.Υ.Ζ.Σ., που θα χρησιμεύσει ως οδηγός, για τη βελτίωση της ασφάλειας και της ανθεκτικότητας των εγκαταστάσεων, ενώ θα συμπληρώνεται από μια μεθοδολογία εκτίμησης τρωτότητας εγκαταστάσεων Ε2.4 Πρότυπο Σχέδιο Διαχείρισης Έκτακτων Καταστάσεων Ε.Υ.Ζ.Σ., που θα αποτελέσει οδηγό για την αντιμετώπιση εκτάκτων καταστάσεων διαφορετικών ειδών κινδύνου, ενώ θα περιέχει και εξειδικευμένα θέματα όπως σχέδια εκκενώσεων, διαχείριση Χ.Β.Ρ.Π., κ.α.  Ε2.5 Πρότυπο Σχέδιο Αναφοράς για Αδιάλειπτη Λειτουργία Ε.Υ.Ζ.Σ., που θα χρησιμεύσει ως οδηγός για την επαναφορά της υποδομής σε στοιχειώδη επίπεδα λειτουργίας μετά από καταστροφή.   Στόχος είναι να αποτελέσουν τα προαναφερόμενα εθνικά πρότυπα κείμενα βάσης για τους διαχειριστές υποδομών.  </w:t>
      </w:r>
    </w:p>
    <w:p w:rsidR="00852A29" w:rsidRDefault="00852A29" w:rsidP="00852A29">
      <w:pPr>
        <w:jc w:val="both"/>
      </w:pPr>
      <w:r w:rsidRPr="00852A29">
        <w:rPr>
          <w:b/>
        </w:rPr>
        <w:t>Πακέτο Εργασίας 3: Συντονιστικό Κέντρο προστασίας Ε.Υ.Ζ.Σ.</w:t>
      </w:r>
    </w:p>
    <w:p w:rsidR="00852A29" w:rsidRDefault="00852A29" w:rsidP="00852A29">
      <w:pPr>
        <w:jc w:val="both"/>
      </w:pPr>
      <w:r w:rsidRPr="00852A29">
        <w:t xml:space="preserve">Ε3.1 Δημιουργία Συντονιστικού Κέντρου προστασίας Ε.Υ.Ζ.Σ., με την προμήθεια servers και κατάλληλου λογισμικού (χαρτογράφησης – GIS) για την εκτίμηση και αποτύπωση κινδύνων και απειλών σε εγκαταστάσεις του ΚΕ.ΜΕ.Α..  Ε3.2 Τρισδιάστατοι Χάρτες επικινδυνότητας Ε.Υ.Ζ.Σ. με 3-D χαρτογραφικό υπόβαθρο πολύ υψηλής ανάλυσης στους οποίους αποτυπώνονται επεξεργασμένα δεδομένα από διαφορετικά μέσα όπως για παράδειγμα μη-επανδρωμένα μέσα, lidars και δορυφόροι.  Ε3.3 Εθνική πλατφόρμα Ε.Υ.Ζ.Σ. για την ανταλλαγή βέλτιστων πρακτικών και αναφορά περιστατικών. Η πλατφόρμα θα είναι πλήρως διασυνδεδεμένη με Ευρωπαϊκά πρότυπα (CIWIN &amp; ERNCIP) και θα περιέχει πληροφοριακό υλικό για τους λειτουργούς και διαχειριστές ασφάλειας των υποδομών, πλατφόρμα ανταλλαγής συμβάντων, εκτίμηση επικινδυνότητας διασυνδεδεμένων υποδομών. </w:t>
      </w:r>
    </w:p>
    <w:p w:rsidR="00852A29" w:rsidRDefault="00852A29" w:rsidP="00852A29">
      <w:pPr>
        <w:jc w:val="both"/>
      </w:pPr>
      <w:r w:rsidRPr="00852A29">
        <w:rPr>
          <w:b/>
        </w:rPr>
        <w:t xml:space="preserve">Πακέτο Εργασίας 4: Δικτύωση φορέων και διάχυση δράσεων </w:t>
      </w:r>
    </w:p>
    <w:p w:rsidR="00852A29" w:rsidRDefault="00852A29" w:rsidP="00852A29">
      <w:pPr>
        <w:jc w:val="both"/>
      </w:pPr>
      <w:r w:rsidRPr="00852A29">
        <w:t>Ε4.1  Συνέδρια – ημερίδες της Ε.Ε. με σκοπό την ανταλλαγή βέλτιστων πρακτικών σε εθνικό και ευρωπαϊκό επίπεδο με αντίστοιχους φορείς,  Ε4.2 Επισκέψεις σε υποδομές και συναντήσεις για την ανταλλαγή γνώσεων και εμπειριών με τους λειτουργούς, ώστε αυτές να επεξεργασθούν και να αποτελέσουν βέλτιστες πρακτικές σε εθνικό επίπεδο. Ε4.2 Διοργάνωση ετήσιου συνεδρίου για τις Ε.Υ.Ζ.Σ. και εξειδικευμένων θεματικών ημερίδων με τη συμμετοχή των εμπλεκομένων φορέων. Ε4.3 Ιστοσελίδα δράσης, η οποία θα φιλοξενείται από τους servers του ΚΕ.ΜΕ.Α. και θα αποτελεί ένα σημαντικό εργαλείο διάχυσης της δράσης.</w:t>
      </w:r>
    </w:p>
    <w:p w:rsidR="00852A29" w:rsidRDefault="00852A29" w:rsidP="00852A29">
      <w:pPr>
        <w:jc w:val="both"/>
      </w:pPr>
      <w:r w:rsidRPr="00852A29">
        <w:rPr>
          <w:b/>
          <w:i/>
        </w:rPr>
        <w:lastRenderedPageBreak/>
        <w:t>Πακέτο Εργασίας 5: Ασκήσεις ετοιμότητας</w:t>
      </w:r>
      <w:r w:rsidRPr="00852A29">
        <w:t xml:space="preserve"> </w:t>
      </w:r>
    </w:p>
    <w:p w:rsidR="00852A29" w:rsidRDefault="00852A29" w:rsidP="00852A29">
      <w:pPr>
        <w:jc w:val="both"/>
      </w:pPr>
      <w:r w:rsidRPr="00852A29">
        <w:t>Ε5.1 Διοργάνωση ασκήσεων ετοιμότητας για διαφορετικούς τύπους Ε.Υ.Ζ.Σ., οι οποίες θα περιλαμβάνουν κατ’ ελάχιστο ασκήσεις επί χάρτου διαφορετικών σεναρίων. Οι ασκήσεις θα πραγματοποιούνται σε ετήσια βάση καθόσον χρειάζονται λεπτομερειακή προετοιμασία και την εμπλοκή πολλών και διαφορετικών φορέων.</w:t>
      </w:r>
    </w:p>
    <w:sectPr w:rsidR="00852A2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A49" w:rsidRDefault="007E7A49" w:rsidP="000F3466">
      <w:pPr>
        <w:spacing w:after="0" w:line="240" w:lineRule="auto"/>
      </w:pPr>
      <w:r>
        <w:separator/>
      </w:r>
    </w:p>
  </w:endnote>
  <w:endnote w:type="continuationSeparator" w:id="0">
    <w:p w:rsidR="007E7A49" w:rsidRDefault="007E7A49" w:rsidP="000F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1"/>
      <w:tblW w:w="5098" w:type="dxa"/>
      <w:jc w:val="center"/>
      <w:tblLook w:val="04A0" w:firstRow="1" w:lastRow="0" w:firstColumn="1" w:lastColumn="0" w:noHBand="0" w:noVBand="1"/>
    </w:tblPr>
    <w:tblGrid>
      <w:gridCol w:w="1941"/>
      <w:gridCol w:w="1337"/>
      <w:gridCol w:w="1820"/>
    </w:tblGrid>
    <w:tr w:rsidR="000F3466" w:rsidRPr="00903242" w:rsidTr="00C17F2F">
      <w:trPr>
        <w:trHeight w:val="433"/>
        <w:jc w:val="center"/>
      </w:trPr>
      <w:tc>
        <w:tcPr>
          <w:tcW w:w="1696" w:type="dxa"/>
        </w:tcPr>
        <w:bookmarkStart w:id="2" w:name="_Hlk493074361"/>
        <w:bookmarkStart w:id="3" w:name="_Hlk493074362"/>
        <w:bookmarkStart w:id="4" w:name="_Hlk493074363"/>
        <w:p w:rsidR="000F3466" w:rsidRPr="00903242" w:rsidRDefault="000F3466" w:rsidP="000F3466">
          <w:pPr>
            <w:tabs>
              <w:tab w:val="center" w:pos="4153"/>
              <w:tab w:val="right" w:pos="8306"/>
            </w:tabs>
            <w:rPr>
              <w:sz w:val="10"/>
              <w:szCs w:val="10"/>
            </w:rPr>
          </w:pPr>
          <w:r>
            <w:object w:dxaOrig="309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6pt">
                <v:imagedata r:id="rId1" o:title=""/>
              </v:shape>
              <o:OLEObject Type="Embed" ProgID="PBrush" ShapeID="_x0000_i1025" DrawAspect="Content" ObjectID="_1568452208" r:id="rId2"/>
            </w:object>
          </w:r>
        </w:p>
      </w:tc>
      <w:tc>
        <w:tcPr>
          <w:tcW w:w="1559" w:type="dxa"/>
          <w:vAlign w:val="center"/>
        </w:tcPr>
        <w:p w:rsidR="000F3466" w:rsidRPr="00903242" w:rsidRDefault="000F3466" w:rsidP="000F3466">
          <w:pPr>
            <w:tabs>
              <w:tab w:val="center" w:pos="4153"/>
              <w:tab w:val="right" w:pos="8306"/>
            </w:tabs>
            <w:jc w:val="center"/>
            <w:rPr>
              <w:sz w:val="8"/>
              <w:szCs w:val="8"/>
            </w:rPr>
          </w:pPr>
          <w:r w:rsidRPr="00903242">
            <w:rPr>
              <w:sz w:val="8"/>
              <w:szCs w:val="8"/>
            </w:rPr>
            <w:t>ΕΥΡΩΠΑΪΚΟ ΤΑΜΕΙΟ ΕΣΩΤΕΡΙΚΗΣ ΑΣΦΑΛΕΙΑΣ –</w:t>
          </w:r>
        </w:p>
        <w:p w:rsidR="000F3466" w:rsidRPr="00903242" w:rsidRDefault="000F3466" w:rsidP="000F3466">
          <w:pPr>
            <w:tabs>
              <w:tab w:val="center" w:pos="4153"/>
              <w:tab w:val="right" w:pos="8306"/>
            </w:tabs>
            <w:jc w:val="center"/>
            <w:rPr>
              <w:sz w:val="8"/>
              <w:szCs w:val="8"/>
            </w:rPr>
          </w:pPr>
          <w:r w:rsidRPr="00903242">
            <w:rPr>
              <w:sz w:val="8"/>
              <w:szCs w:val="8"/>
            </w:rPr>
            <w:t>ΤΟΜΕΑΣ ΑΣΤΥΝΟΜΙΚΗΣ ΣΥΝΕΡΓΑΣΙΑΣ</w:t>
          </w:r>
        </w:p>
        <w:p w:rsidR="000F3466" w:rsidRPr="00903242" w:rsidRDefault="000F3466" w:rsidP="000F3466">
          <w:pPr>
            <w:tabs>
              <w:tab w:val="center" w:pos="4153"/>
              <w:tab w:val="right" w:pos="8306"/>
            </w:tabs>
            <w:jc w:val="center"/>
            <w:rPr>
              <w:sz w:val="8"/>
              <w:szCs w:val="8"/>
            </w:rPr>
          </w:pPr>
          <w:r w:rsidRPr="00903242">
            <w:rPr>
              <w:sz w:val="8"/>
              <w:szCs w:val="8"/>
            </w:rPr>
            <w:t>(2014-2020)</w:t>
          </w:r>
        </w:p>
      </w:tc>
      <w:tc>
        <w:tcPr>
          <w:tcW w:w="1843" w:type="dxa"/>
        </w:tcPr>
        <w:p w:rsidR="000F3466" w:rsidRPr="00903242" w:rsidRDefault="000F3466" w:rsidP="000F3466">
          <w:pPr>
            <w:tabs>
              <w:tab w:val="center" w:pos="4153"/>
              <w:tab w:val="right" w:pos="8306"/>
            </w:tabs>
            <w:rPr>
              <w:sz w:val="10"/>
              <w:szCs w:val="10"/>
            </w:rPr>
          </w:pPr>
          <w:r w:rsidRPr="00903242">
            <w:rPr>
              <w:noProof/>
              <w:sz w:val="10"/>
              <w:szCs w:val="10"/>
              <w:lang w:eastAsia="el-GR"/>
            </w:rPr>
            <w:drawing>
              <wp:inline distT="0" distB="0" distL="0" distR="0" wp14:anchorId="65FB7E9F" wp14:editId="7C358D13">
                <wp:extent cx="976630" cy="414068"/>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076791" cy="456534"/>
                        </a:xfrm>
                        <a:prstGeom prst="rect">
                          <a:avLst/>
                        </a:prstGeom>
                      </pic:spPr>
                    </pic:pic>
                  </a:graphicData>
                </a:graphic>
              </wp:inline>
            </w:drawing>
          </w:r>
        </w:p>
      </w:tc>
    </w:tr>
  </w:tbl>
  <w:p w:rsidR="000F3466" w:rsidRPr="00903242" w:rsidRDefault="000F3466" w:rsidP="000F3466">
    <w:pPr>
      <w:tabs>
        <w:tab w:val="center" w:pos="4153"/>
        <w:tab w:val="right" w:pos="8306"/>
      </w:tabs>
      <w:spacing w:after="0" w:line="240" w:lineRule="auto"/>
      <w:rPr>
        <w:rFonts w:ascii="Times New Roman" w:eastAsia="Times New Roman" w:hAnsi="Times New Roman"/>
        <w:sz w:val="20"/>
        <w:szCs w:val="20"/>
      </w:rPr>
    </w:pPr>
    <w:r w:rsidRPr="00903242">
      <w:rPr>
        <w:rFonts w:ascii="Times New Roman" w:eastAsia="Times New Roman" w:hAnsi="Times New Roman"/>
        <w:sz w:val="20"/>
        <w:szCs w:val="20"/>
      </w:rPr>
      <w:ptab w:relativeTo="margin" w:alignment="center" w:leader="none"/>
    </w:r>
  </w:p>
  <w:p w:rsidR="000F3466" w:rsidRPr="00903242" w:rsidRDefault="000F3466" w:rsidP="000F3466">
    <w:pPr>
      <w:tabs>
        <w:tab w:val="center" w:pos="4153"/>
        <w:tab w:val="right" w:pos="8306"/>
      </w:tabs>
      <w:spacing w:after="0" w:line="240" w:lineRule="auto"/>
      <w:jc w:val="center"/>
      <w:rPr>
        <w:b/>
        <w:bCs/>
        <w:sz w:val="14"/>
        <w:szCs w:val="14"/>
      </w:rPr>
    </w:pPr>
    <w:r w:rsidRPr="00903242">
      <w:rPr>
        <w:b/>
        <w:bCs/>
        <w:sz w:val="14"/>
        <w:szCs w:val="14"/>
      </w:rPr>
      <w:t xml:space="preserve">Δράση συγχρηματοδοτούμενη σε ποσοστό 75% από κοινοτικούς πόρους και 25% από εθνικούς πόρους που θα βαρύνει τις πιστώσεις του υπ΄ αριθμ. </w:t>
    </w:r>
    <w:r>
      <w:rPr>
        <w:b/>
        <w:bCs/>
        <w:sz w:val="14"/>
        <w:szCs w:val="14"/>
      </w:rPr>
      <w:t>2016ΣΕ05020013</w:t>
    </w:r>
    <w:r w:rsidRPr="00903242">
      <w:rPr>
        <w:b/>
        <w:bCs/>
        <w:sz w:val="14"/>
        <w:szCs w:val="14"/>
      </w:rPr>
      <w:t xml:space="preserve"> Έργου της ΣΑΕ 050/2 με τίτλο: «</w:t>
    </w:r>
    <w:r w:rsidRPr="00C25003">
      <w:rPr>
        <w:b/>
        <w:bCs/>
        <w:sz w:val="14"/>
        <w:szCs w:val="14"/>
      </w:rPr>
      <w:t>Στοχευμένες Δράσεις για την Αύξηση της Προστασίας των Εθνικά Χαρακτηρισμένων Ευρωπαϊκών Υποδομών Ζωτικής Σημασίας</w:t>
    </w:r>
    <w:r w:rsidRPr="00903242">
      <w:rPr>
        <w:b/>
        <w:bCs/>
        <w:sz w:val="14"/>
        <w:szCs w:val="14"/>
      </w:rPr>
      <w:t>».</w:t>
    </w:r>
  </w:p>
  <w:p w:rsidR="000F3466" w:rsidRPr="00903242" w:rsidRDefault="000F3466" w:rsidP="000F3466">
    <w:pPr>
      <w:tabs>
        <w:tab w:val="center" w:pos="4153"/>
        <w:tab w:val="right" w:pos="8222"/>
      </w:tabs>
      <w:spacing w:after="0" w:line="240" w:lineRule="auto"/>
      <w:ind w:left="-567" w:right="-524"/>
      <w:jc w:val="center"/>
      <w:rPr>
        <w:rFonts w:ascii="Palatino Linotype" w:eastAsia="Times New Roman" w:hAnsi="Palatino Linotype"/>
        <w:i/>
        <w:sz w:val="16"/>
        <w:szCs w:val="16"/>
      </w:rPr>
    </w:pPr>
    <w:r w:rsidRPr="00903242">
      <w:rPr>
        <w:rFonts w:ascii="Palatino Linotype" w:eastAsia="Times New Roman" w:hAnsi="Palatino Linotype"/>
        <w:i/>
        <w:sz w:val="16"/>
        <w:szCs w:val="16"/>
      </w:rPr>
      <w:t xml:space="preserve">Π. Κανελλοπούλου 4, Τ.Κ. 101 77, Αθήνα τηλ.: 210 7481630, 210 7481347 </w:t>
    </w:r>
    <w:r w:rsidRPr="00903242">
      <w:rPr>
        <w:rFonts w:ascii="Palatino Linotype" w:eastAsia="Times New Roman" w:hAnsi="Palatino Linotype"/>
        <w:i/>
        <w:sz w:val="16"/>
        <w:szCs w:val="16"/>
        <w:lang w:val="en-US"/>
      </w:rPr>
      <w:t>Fax</w:t>
    </w:r>
    <w:r w:rsidRPr="00903242">
      <w:rPr>
        <w:rFonts w:ascii="Palatino Linotype" w:eastAsia="Times New Roman" w:hAnsi="Palatino Linotype"/>
        <w:i/>
        <w:sz w:val="16"/>
        <w:szCs w:val="16"/>
      </w:rPr>
      <w:t xml:space="preserve">: 210 7481995, </w:t>
    </w:r>
    <w:r w:rsidRPr="00903242">
      <w:rPr>
        <w:rFonts w:ascii="Palatino Linotype" w:eastAsia="Times New Roman" w:hAnsi="Palatino Linotype"/>
        <w:i/>
        <w:sz w:val="16"/>
        <w:szCs w:val="16"/>
        <w:lang w:val="en-US"/>
      </w:rPr>
      <w:t>www</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kemea</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gr</w:t>
    </w:r>
    <w:r w:rsidRPr="00903242">
      <w:rPr>
        <w:rFonts w:ascii="Palatino Linotype" w:eastAsia="Times New Roman" w:hAnsi="Palatino Linotype"/>
        <w:i/>
        <w:sz w:val="16"/>
        <w:szCs w:val="16"/>
      </w:rPr>
      <w:t xml:space="preserve"> </w:t>
    </w:r>
    <w:r w:rsidRPr="00903242">
      <w:rPr>
        <w:rFonts w:ascii="Palatino Linotype" w:eastAsia="Times New Roman" w:hAnsi="Palatino Linotype" w:cs="Calibri"/>
        <w:i/>
        <w:color w:val="C05700"/>
        <w:sz w:val="16"/>
        <w:szCs w:val="16"/>
      </w:rPr>
      <w:t>•</w:t>
    </w:r>
    <w:r w:rsidRPr="00903242">
      <w:rPr>
        <w:rFonts w:ascii="Palatino Linotype" w:eastAsia="Times New Roman" w:hAnsi="Palatino Linotype"/>
        <w:i/>
        <w:sz w:val="16"/>
        <w:szCs w:val="16"/>
      </w:rPr>
      <w:t xml:space="preserve"> </w:t>
    </w:r>
    <w:r w:rsidRPr="00903242">
      <w:rPr>
        <w:rFonts w:ascii="Palatino Linotype" w:eastAsia="Times New Roman" w:hAnsi="Palatino Linotype"/>
        <w:i/>
        <w:sz w:val="16"/>
        <w:szCs w:val="16"/>
        <w:lang w:val="en-US"/>
      </w:rPr>
      <w:t>e</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mail</w:t>
    </w:r>
    <w:r w:rsidRPr="00903242">
      <w:rPr>
        <w:rFonts w:ascii="Palatino Linotype" w:eastAsia="Times New Roman" w:hAnsi="Palatino Linotype"/>
        <w:i/>
        <w:sz w:val="16"/>
        <w:szCs w:val="16"/>
      </w:rPr>
      <w:t xml:space="preserve">: </w:t>
    </w:r>
    <w:r w:rsidRPr="00903242">
      <w:rPr>
        <w:rFonts w:ascii="Palatino Linotype" w:eastAsia="Times New Roman" w:hAnsi="Palatino Linotype"/>
        <w:i/>
        <w:sz w:val="16"/>
        <w:szCs w:val="16"/>
        <w:lang w:val="en-US"/>
      </w:rPr>
      <w:t>kemea</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kemea</w:t>
    </w:r>
    <w:r w:rsidRPr="00903242">
      <w:rPr>
        <w:rFonts w:ascii="Palatino Linotype" w:eastAsia="Times New Roman" w:hAnsi="Palatino Linotype"/>
        <w:i/>
        <w:sz w:val="16"/>
        <w:szCs w:val="16"/>
      </w:rPr>
      <w:t>.</w:t>
    </w:r>
    <w:r w:rsidRPr="00903242">
      <w:rPr>
        <w:rFonts w:ascii="Palatino Linotype" w:eastAsia="Times New Roman" w:hAnsi="Palatino Linotype"/>
        <w:i/>
        <w:sz w:val="16"/>
        <w:szCs w:val="16"/>
        <w:lang w:val="en-US"/>
      </w:rPr>
      <w:t>gr</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A49" w:rsidRDefault="007E7A49" w:rsidP="000F3466">
      <w:pPr>
        <w:spacing w:after="0" w:line="240" w:lineRule="auto"/>
      </w:pPr>
      <w:r>
        <w:separator/>
      </w:r>
    </w:p>
  </w:footnote>
  <w:footnote w:type="continuationSeparator" w:id="0">
    <w:p w:rsidR="007E7A49" w:rsidRDefault="007E7A49" w:rsidP="000F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466" w:rsidRDefault="000F3466" w:rsidP="000F3466">
    <w:pPr>
      <w:pStyle w:val="a4"/>
      <w:tabs>
        <w:tab w:val="clear" w:pos="4153"/>
        <w:tab w:val="clear" w:pos="8306"/>
      </w:tabs>
      <w:rPr>
        <w:noProof/>
        <w:lang w:val="en-US" w:eastAsia="el-GR"/>
      </w:rPr>
    </w:pPr>
    <w:bookmarkStart w:id="1" w:name="_Hlk493074342"/>
    <w:r>
      <w:rPr>
        <w:noProof/>
        <w:lang w:eastAsia="el-GR"/>
      </w:rPr>
      <w:drawing>
        <wp:anchor distT="0" distB="0" distL="114300" distR="114300" simplePos="0" relativeHeight="251659264" behindDoc="1" locked="0" layoutInCell="1" allowOverlap="1" wp14:anchorId="17073425" wp14:editId="0A683DAC">
          <wp:simplePos x="0" y="0"/>
          <wp:positionH relativeFrom="column">
            <wp:posOffset>-276225</wp:posOffset>
          </wp:positionH>
          <wp:positionV relativeFrom="paragraph">
            <wp:posOffset>-97155</wp:posOffset>
          </wp:positionV>
          <wp:extent cx="1038225" cy="586740"/>
          <wp:effectExtent l="0" t="0" r="9525" b="3810"/>
          <wp:wrapThrough wrapText="bothSides">
            <wp:wrapPolygon edited="0">
              <wp:start x="0" y="0"/>
              <wp:lineTo x="0" y="21039"/>
              <wp:lineTo x="21402" y="21039"/>
              <wp:lineTo x="21402" y="0"/>
              <wp:lineTo x="0" y="0"/>
            </wp:wrapPolygon>
          </wp:wrapThrough>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038225" cy="586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4678" w:type="dxa"/>
      <w:tblLook w:val="04A0" w:firstRow="1" w:lastRow="0" w:firstColumn="1" w:lastColumn="0" w:noHBand="0" w:noVBand="1"/>
    </w:tblPr>
    <w:tblGrid>
      <w:gridCol w:w="729"/>
      <w:gridCol w:w="3949"/>
    </w:tblGrid>
    <w:tr w:rsidR="000F3466" w:rsidRPr="001A16B8" w:rsidTr="00852A29">
      <w:trPr>
        <w:trHeight w:val="198"/>
      </w:trPr>
      <w:tc>
        <w:tcPr>
          <w:tcW w:w="729" w:type="dxa"/>
          <w:vMerge w:val="restart"/>
          <w:tcBorders>
            <w:right w:val="single" w:sz="12" w:space="0" w:color="auto"/>
          </w:tcBorders>
          <w:shd w:val="clear" w:color="auto" w:fill="auto"/>
        </w:tcPr>
        <w:p w:rsidR="000F3466" w:rsidRPr="001A16B8" w:rsidRDefault="000F3466" w:rsidP="000F3466">
          <w:pPr>
            <w:pStyle w:val="a4"/>
            <w:tabs>
              <w:tab w:val="clear" w:pos="4153"/>
              <w:tab w:val="clear" w:pos="8306"/>
            </w:tabs>
            <w:rPr>
              <w:lang w:val="en-US"/>
            </w:rPr>
          </w:pPr>
        </w:p>
      </w:tc>
      <w:tc>
        <w:tcPr>
          <w:tcW w:w="3949" w:type="dxa"/>
          <w:tcBorders>
            <w:left w:val="single" w:sz="12" w:space="0" w:color="auto"/>
          </w:tcBorders>
          <w:shd w:val="clear" w:color="auto" w:fill="auto"/>
        </w:tcPr>
        <w:p w:rsidR="000F3466" w:rsidRPr="001A16B8" w:rsidRDefault="000F3466" w:rsidP="000F3466">
          <w:pPr>
            <w:pStyle w:val="a4"/>
            <w:tabs>
              <w:tab w:val="clear" w:pos="4153"/>
              <w:tab w:val="clear" w:pos="8306"/>
            </w:tabs>
            <w:rPr>
              <w:sz w:val="20"/>
              <w:szCs w:val="52"/>
            </w:rPr>
          </w:pPr>
          <w:r w:rsidRPr="001A16B8">
            <w:rPr>
              <w:color w:val="0F243E"/>
            </w:rPr>
            <w:t>ΚΕΝΤΡΟ ΜΕΛΕΤΩΝ ΑΣΦΑΛΕΙΑΣ</w:t>
          </w:r>
        </w:p>
      </w:tc>
    </w:tr>
    <w:tr w:rsidR="000F3466" w:rsidRPr="001A16B8" w:rsidTr="00852A29">
      <w:trPr>
        <w:trHeight w:val="200"/>
      </w:trPr>
      <w:tc>
        <w:tcPr>
          <w:tcW w:w="729" w:type="dxa"/>
          <w:vMerge/>
          <w:tcBorders>
            <w:right w:val="single" w:sz="12" w:space="0" w:color="auto"/>
          </w:tcBorders>
          <w:shd w:val="clear" w:color="auto" w:fill="auto"/>
        </w:tcPr>
        <w:p w:rsidR="000F3466" w:rsidRPr="001A16B8" w:rsidRDefault="000F3466" w:rsidP="000F3466">
          <w:pPr>
            <w:pStyle w:val="a4"/>
            <w:tabs>
              <w:tab w:val="clear" w:pos="4153"/>
              <w:tab w:val="clear" w:pos="8306"/>
            </w:tabs>
            <w:rPr>
              <w:lang w:val="en-US"/>
            </w:rPr>
          </w:pPr>
        </w:p>
      </w:tc>
      <w:tc>
        <w:tcPr>
          <w:tcW w:w="3949" w:type="dxa"/>
          <w:tcBorders>
            <w:left w:val="single" w:sz="12" w:space="0" w:color="auto"/>
          </w:tcBorders>
          <w:shd w:val="clear" w:color="auto" w:fill="auto"/>
        </w:tcPr>
        <w:p w:rsidR="000F3466" w:rsidRPr="001A16B8" w:rsidRDefault="000F3466" w:rsidP="000F3466">
          <w:pPr>
            <w:pStyle w:val="a4"/>
            <w:tabs>
              <w:tab w:val="clear" w:pos="4153"/>
              <w:tab w:val="clear" w:pos="8306"/>
            </w:tabs>
            <w:rPr>
              <w:lang w:val="en-US"/>
            </w:rPr>
          </w:pPr>
          <w:r w:rsidRPr="001A16B8">
            <w:rPr>
              <w:color w:val="95B3D7"/>
              <w:lang w:val="en-US"/>
            </w:rPr>
            <w:t>CENTER FOR SECURITY STUDIES</w:t>
          </w:r>
        </w:p>
      </w:tc>
    </w:tr>
    <w:bookmarkEnd w:id="1"/>
  </w:tbl>
  <w:p w:rsidR="000F3466" w:rsidRPr="000F3466" w:rsidRDefault="000F3466" w:rsidP="000F34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66"/>
    <w:rsid w:val="000C78DA"/>
    <w:rsid w:val="000F3466"/>
    <w:rsid w:val="00680908"/>
    <w:rsid w:val="0069549A"/>
    <w:rsid w:val="00713B15"/>
    <w:rsid w:val="007E7A49"/>
    <w:rsid w:val="00852A29"/>
    <w:rsid w:val="008A2731"/>
    <w:rsid w:val="008F66D6"/>
    <w:rsid w:val="00FB72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C66C5"/>
  <w15:chartTrackingRefBased/>
  <w15:docId w15:val="{04CC32DC-4987-47C8-B7ED-392521E9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F3466"/>
    <w:pPr>
      <w:tabs>
        <w:tab w:val="center" w:pos="4153"/>
        <w:tab w:val="right" w:pos="8306"/>
      </w:tabs>
      <w:spacing w:after="0" w:line="240" w:lineRule="auto"/>
    </w:pPr>
  </w:style>
  <w:style w:type="character" w:customStyle="1" w:styleId="Char">
    <w:name w:val="Κεφαλίδα Char"/>
    <w:basedOn w:val="a0"/>
    <w:link w:val="a4"/>
    <w:uiPriority w:val="99"/>
    <w:rsid w:val="000F3466"/>
  </w:style>
  <w:style w:type="paragraph" w:styleId="a5">
    <w:name w:val="footer"/>
    <w:basedOn w:val="a"/>
    <w:link w:val="Char0"/>
    <w:uiPriority w:val="99"/>
    <w:unhideWhenUsed/>
    <w:rsid w:val="000F3466"/>
    <w:pPr>
      <w:tabs>
        <w:tab w:val="center" w:pos="4153"/>
        <w:tab w:val="right" w:pos="8306"/>
      </w:tabs>
      <w:spacing w:after="0" w:line="240" w:lineRule="auto"/>
    </w:pPr>
  </w:style>
  <w:style w:type="character" w:customStyle="1" w:styleId="Char0">
    <w:name w:val="Υποσέλιδο Char"/>
    <w:basedOn w:val="a0"/>
    <w:link w:val="a5"/>
    <w:uiPriority w:val="99"/>
    <w:rsid w:val="000F3466"/>
  </w:style>
  <w:style w:type="table" w:customStyle="1" w:styleId="1">
    <w:name w:val="Πλέγμα πίνακα1"/>
    <w:basedOn w:val="a1"/>
    <w:next w:val="a3"/>
    <w:uiPriority w:val="59"/>
    <w:unhideWhenUsed/>
    <w:rsid w:val="000F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5173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Πρασσάκης</dc:creator>
  <cp:keywords/>
  <dc:description/>
  <cp:lastModifiedBy>elli pagourtzi</cp:lastModifiedBy>
  <cp:revision>4</cp:revision>
  <dcterms:created xsi:type="dcterms:W3CDTF">2017-10-02T09:04:00Z</dcterms:created>
  <dcterms:modified xsi:type="dcterms:W3CDTF">2017-10-02T09:24:00Z</dcterms:modified>
</cp:coreProperties>
</file>