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370" w:rsidRDefault="00A87370" w:rsidP="00A87370">
      <w:pPr>
        <w:shd w:val="clear" w:color="auto" w:fill="FFFFFF"/>
        <w:spacing w:after="160" w:line="29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A8737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ΔΙΚΑΙΩΜΑ ΣΥΜΜΕΤΟΧΗΣ</w:t>
      </w:r>
    </w:p>
    <w:p w:rsidR="00526BAD" w:rsidRDefault="00526BAD" w:rsidP="00DB746F">
      <w:pPr>
        <w:jc w:val="both"/>
        <w:rPr>
          <w:rFonts w:ascii="Times New Roman" w:hAnsi="Times New Roman"/>
          <w:sz w:val="24"/>
          <w:szCs w:val="24"/>
        </w:rPr>
      </w:pP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Δικαίωμα συμμετοχής έχουν φυσικά, νομικά πρόσωπα ή κοινοπραξίες/ενώσεις τα οποία ασκούν δραστηριότητα σχετική µε το αντικείμενο της εργασίας και πιο συγκεκριμένα: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 xml:space="preserve"> α) Φυσικά ή νομικά πρόσωπα της ημεδαπής ή της αλλοδαπής,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β) Συνεταιρισμοί,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γ) Ενώσεις Προμηθευτών που υποβάλλουν κοινή Προσφορά,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δ) Κοινοπραξίες Προμηθευτών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 xml:space="preserve"> που έχουν συσταθεί σύμφωνα µε τη νομοθεσία ενός Κράτους -Μέλους της ΕΕ και δραστηριοποιούνται νόµιµα στον τοµέα της προμήθειας και παροχής υπηρεσιών, σχετικών µε το αντικείμενο της παρούσας πρόσκλησης και πληρούν τους όρους και τις προϋποθέσεις που αναφέρονται</w:t>
      </w:r>
      <w:r w:rsidR="00A87370" w:rsidRPr="00BB1984">
        <w:rPr>
          <w:rFonts w:ascii="Times New Roman" w:hAnsi="Times New Roman"/>
          <w:sz w:val="24"/>
          <w:szCs w:val="24"/>
        </w:rPr>
        <w:t xml:space="preserve"> στην ενότητα δικαιολογητικά συμμετοχής</w:t>
      </w:r>
      <w:r w:rsidRPr="00BB1984">
        <w:rPr>
          <w:rFonts w:ascii="Times New Roman" w:hAnsi="Times New Roman"/>
          <w:sz w:val="24"/>
          <w:szCs w:val="24"/>
        </w:rPr>
        <w:t>.</w:t>
      </w:r>
    </w:p>
    <w:p w:rsidR="00A87370" w:rsidRPr="00BB1984" w:rsidRDefault="00A87370" w:rsidP="00DB746F">
      <w:pPr>
        <w:jc w:val="both"/>
        <w:rPr>
          <w:rFonts w:ascii="Times New Roman" w:hAnsi="Times New Roman"/>
          <w:sz w:val="24"/>
          <w:szCs w:val="24"/>
        </w:rPr>
      </w:pPr>
    </w:p>
    <w:p w:rsidR="00A87370" w:rsidRPr="00BB1984" w:rsidRDefault="00A87370" w:rsidP="00A87370">
      <w:pPr>
        <w:shd w:val="clear" w:color="auto" w:fill="FFFFFF"/>
        <w:spacing w:after="160" w:line="293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198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ΥΠΟΒΟΛΗ ΠΡΟΣΦΟΡΑΣ- ΔΙΚΑΙΟΛΟΓΗΤΙΚΑ ΣΥΜΜΕΤΟΧΗΣ</w:t>
      </w:r>
    </w:p>
    <w:p w:rsidR="0076010B" w:rsidRDefault="00A87370" w:rsidP="00A87370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 xml:space="preserve"> </w:t>
      </w:r>
    </w:p>
    <w:p w:rsidR="00A87370" w:rsidRDefault="00A87370" w:rsidP="00A87370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Οι ενδιαφερόμενοι καλούνται να καταθέσουν προσφορά, η οποία θα περιέχει:</w:t>
      </w:r>
    </w:p>
    <w:p w:rsidR="00A87370" w:rsidRPr="00BB1984" w:rsidRDefault="00A87370" w:rsidP="00A87370">
      <w:pPr>
        <w:pStyle w:val="a7"/>
        <w:ind w:left="405"/>
        <w:jc w:val="both"/>
        <w:rPr>
          <w:rFonts w:ascii="Times New Roman" w:hAnsi="Times New Roman"/>
          <w:sz w:val="24"/>
          <w:szCs w:val="24"/>
        </w:rPr>
      </w:pPr>
    </w:p>
    <w:p w:rsidR="009F0128" w:rsidRDefault="00A87370" w:rsidP="00A8737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Οικονομική προσφορά,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r w:rsidRPr="00BB1984">
        <w:rPr>
          <w:rFonts w:ascii="Times New Roman" w:hAnsi="Times New Roman"/>
          <w:sz w:val="24"/>
          <w:szCs w:val="24"/>
        </w:rPr>
        <w:t>επί των ζητούμενων υπηρεσιών µε τιμή προσφοράς εκφρασμένη σε Ευρώ (€) ολογράφως και αριθμητικώς. Στην τιμή θα περιλαμβάνονται οι τυχόν υπέρ τρίτων κρατήσεις, ως και κάθε άλλη επιβάρυνση, όπως και ο Φ.Π.Α.</w:t>
      </w:r>
      <w:r w:rsidR="009F0128" w:rsidRPr="009F0128">
        <w:rPr>
          <w:rFonts w:ascii="Times New Roman" w:hAnsi="Times New Roman"/>
          <w:sz w:val="24"/>
          <w:szCs w:val="24"/>
        </w:rPr>
        <w:t xml:space="preserve"> 24%.</w:t>
      </w:r>
    </w:p>
    <w:p w:rsidR="00AD3760" w:rsidRDefault="00AD3760" w:rsidP="00AD3760">
      <w:pPr>
        <w:pStyle w:val="a7"/>
        <w:ind w:left="405"/>
        <w:jc w:val="both"/>
        <w:rPr>
          <w:rFonts w:ascii="Times New Roman" w:hAnsi="Times New Roman"/>
          <w:sz w:val="24"/>
          <w:szCs w:val="24"/>
        </w:rPr>
      </w:pPr>
    </w:p>
    <w:p w:rsidR="00AD3760" w:rsidRPr="00AD3760" w:rsidRDefault="00AD3760" w:rsidP="00AD3760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AD3760" w:rsidRDefault="00A87370" w:rsidP="00AD376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D3760">
        <w:rPr>
          <w:rFonts w:ascii="Times New Roman" w:eastAsia="Times New Roman" w:hAnsi="Times New Roman"/>
          <w:sz w:val="24"/>
          <w:szCs w:val="24"/>
          <w:lang w:eastAsia="el-GR"/>
        </w:rPr>
        <w:t>Υπεύθυνη δήλωση της παρ. 4 του άρθρου 8 του ν. 1599/1986 (Α’ 75), όπως εκάστοτε ισχύει, στην οποία:</w:t>
      </w:r>
    </w:p>
    <w:p w:rsidR="00A87370" w:rsidRPr="00BB1984" w:rsidRDefault="00BB1984" w:rsidP="00BB1984">
      <w:pPr>
        <w:pStyle w:val="a7"/>
        <w:shd w:val="clear" w:color="auto" w:fill="FFFFFF"/>
        <w:spacing w:line="293" w:lineRule="atLeast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A. 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>Να αναγράφονται τα στοιχεία της πρόσκλησης εκδ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ήλωσης ενδιαφέροντος στην οποία 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>συµµετέχουν</w:t>
      </w:r>
      <w:r w:rsidR="00526BAD">
        <w:rPr>
          <w:rFonts w:ascii="Times New Roman" w:eastAsia="Times New Roman" w:hAnsi="Times New Roman"/>
          <w:sz w:val="24"/>
          <w:szCs w:val="24"/>
          <w:lang w:eastAsia="el-GR"/>
        </w:rPr>
        <w:t>,</w:t>
      </w:r>
    </w:p>
    <w:p w:rsidR="00A87370" w:rsidRPr="00BB1984" w:rsidRDefault="00BB1984" w:rsidP="00A87370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B. 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Να δηλώνεται ότι, µέχρι και την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ημέρα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υποβολής της προσφοράς:</w:t>
      </w:r>
    </w:p>
    <w:p w:rsidR="00A87370" w:rsidRPr="00BB1984" w:rsidRDefault="00A87370" w:rsidP="0076010B">
      <w:pPr>
        <w:pStyle w:val="a7"/>
        <w:numPr>
          <w:ilvl w:val="0"/>
          <w:numId w:val="14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 xml:space="preserve">δεν έχει καταδικασθεί µε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αμετάκλητη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απόφαση για κάποιο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αδίκημα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από τα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αδικήματα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παρ. 1 του άρθρου 43 του ΠΔ 60/2007, για κάποιο από τα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αδικήματα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Αγορανομικού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Κώδικα, σχετικό µε την άσκηση της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επαγγελματικής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δραστηριότητας ή για κάποιο από τα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αδικήματα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υπεξαίρεσης της απάτης, της εκβίασης, της πλαστογραφίας, της ψευδορκίας, της δωροδοκίας και της δόλιας χρεωκοπίας. </w:t>
      </w:r>
    </w:p>
    <w:p w:rsidR="00A87370" w:rsidRPr="00BB1984" w:rsidRDefault="00A87370" w:rsidP="0076010B">
      <w:pPr>
        <w:pStyle w:val="a7"/>
        <w:numPr>
          <w:ilvl w:val="0"/>
          <w:numId w:val="14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δεν τελούν σε πτώχευση επίσης, δεν τελούν σε διαδικασία κήρυξης πτώχευσης, είναι φορολογικά και ασφαλιστικά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ενήμεροι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ως προς τις υποχρεώσεις τους (εισφορές κοινωνικής ασφάλισης, κύριας &amp; επικουρικής), είναι εγγεγραµµένοι στο οικείο επιμελητήριο, δεν τελούν υπό εκκαθάριση του Ν. 2190/1920 όπως εκάστοτε ισχύει, ή άλλες ανάλογες καταστάσεις (µόνο για αλλοδαπά νοµικά πρόσωπα) και επίσης, ότι δεν τελούν υπό διαδικασία έκδοσης απόφασης κοινής ή ειδικής εκκαθάρισης των ανωτέρω νομοθετημάτων ή από άλλες ανάλογες καταστάσεις (µόνο για αλλοδαπά νοµικά πρόσωπα).</w:t>
      </w:r>
    </w:p>
    <w:p w:rsidR="000D3C0F" w:rsidRPr="00BB1984" w:rsidRDefault="000D3C0F" w:rsidP="00A87370">
      <w:pPr>
        <w:pStyle w:val="a7"/>
        <w:shd w:val="clear" w:color="auto" w:fill="FFFFFF"/>
        <w:spacing w:line="293" w:lineRule="atLeas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BB1984" w:rsidRDefault="00A87370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Υπεύθυνη δήλωση του Ν1599/1986 στην οποία να δηλώνουν ότι αποδέχονται ανεπιφύλακτα όλους τους όρους της συγκεκριμένης πρόσκλησης και η Προσφορά συντάχθηκε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σύμφωνα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µε τους όρους και τις προδιαγραφές της παρούσας Πρόσκλησης.</w:t>
      </w:r>
    </w:p>
    <w:p w:rsidR="00A87370" w:rsidRPr="00BB1984" w:rsidRDefault="00A87370" w:rsidP="00A87370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BB1984" w:rsidRDefault="00A87370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>Τα νομιμοποιητικά έγγραφα-δικαιολογητικά σύστασής τους, και συγκεκριμένα:</w:t>
      </w:r>
    </w:p>
    <w:p w:rsidR="00A87370" w:rsidRPr="00BB1984" w:rsidRDefault="00A87370" w:rsidP="00A87370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BB1984" w:rsidRDefault="00A87370" w:rsidP="00A87370">
      <w:pPr>
        <w:pStyle w:val="a7"/>
        <w:numPr>
          <w:ilvl w:val="0"/>
          <w:numId w:val="8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Εάν ο προσφέρων είναι </w:t>
      </w:r>
      <w:r w:rsidR="005772D6">
        <w:rPr>
          <w:rFonts w:ascii="Times New Roman" w:eastAsia="Times New Roman" w:hAnsi="Times New Roman"/>
          <w:b/>
          <w:sz w:val="24"/>
          <w:szCs w:val="24"/>
          <w:lang w:eastAsia="el-GR"/>
        </w:rPr>
        <w:t>Ν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>ομικό πρόσωπο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>: Αντίγραφο του ΦΕΚ σύστασης ή καταστατικού µε τις τροποποιήσεις του, κατά περίπτωση</w:t>
      </w:r>
      <w:r w:rsidR="005772D6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A87370" w:rsidRPr="00BB1984" w:rsidRDefault="00A87370" w:rsidP="00A87370">
      <w:pPr>
        <w:pStyle w:val="a7"/>
        <w:numPr>
          <w:ilvl w:val="0"/>
          <w:numId w:val="8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Εάν ο προσφέρων είναι 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>Φυσικό Πρόσωπο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: Έναρξη Επιτηδεύματος από την αντίστοιχη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Δημόσια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Οικονομική</w:t>
      </w:r>
      <w:r w:rsid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Υπηρεσία και τις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μεταβολές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του.</w:t>
      </w:r>
    </w:p>
    <w:p w:rsidR="005772D6" w:rsidRDefault="00A87370" w:rsidP="005772D6">
      <w:pPr>
        <w:pStyle w:val="a7"/>
        <w:numPr>
          <w:ilvl w:val="0"/>
          <w:numId w:val="8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Εάν ο προσφέρων είναι </w:t>
      </w:r>
      <w:r w:rsidR="0076010B">
        <w:rPr>
          <w:rFonts w:ascii="Times New Roman" w:eastAsia="Times New Roman" w:hAnsi="Times New Roman"/>
          <w:b/>
          <w:sz w:val="24"/>
          <w:szCs w:val="24"/>
          <w:lang w:eastAsia="el-GR"/>
        </w:rPr>
        <w:t>Έ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νωση </w:t>
      </w:r>
      <w:r w:rsidR="0076010B">
        <w:rPr>
          <w:rFonts w:ascii="Times New Roman" w:eastAsia="Times New Roman" w:hAnsi="Times New Roman"/>
          <w:b/>
          <w:sz w:val="24"/>
          <w:szCs w:val="24"/>
          <w:lang w:eastAsia="el-GR"/>
        </w:rPr>
        <w:t>ή Κ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>οινοπραξία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, οφείλει επιπλέον να καταθέσει πρακτικά αποφάσεων του Διοικητικού Συμβουλίου ή απόφαση των διαχειριστών κάθε Συμμετέχοντος στην Πρόσκληση, µε τα οποία: </w:t>
      </w:r>
    </w:p>
    <w:p w:rsidR="005772D6" w:rsidRDefault="00A87370" w:rsidP="005772D6">
      <w:pPr>
        <w:pStyle w:val="a7"/>
        <w:numPr>
          <w:ilvl w:val="0"/>
          <w:numId w:val="13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Εγκρίνεται η από κοινού µε τους άλλους εταίρους (που αναφέρονται όλοι ρητά) εκτέλεση της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Σύμβασης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, και η αλληλέγγυα ευθύνη καθενός εις ολόκληρο το ποσοστό συμμετοχής στην ένωση (ενώ αναφέρονται και τα ποσοστά όλων των εταίρων της ένωσης), ο τρόπος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κατανομής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αμοιβής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των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υπηρεσιών που θα παρασχεθούν, μεταξύ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των εταίρων της ένωσης και το ότι θα συστήσουν Κοινοπραξία, εφ΄ όσον αυτό ζητηθεί από την Αναθέτουσα Αρχή, εάν αναδειχθεί Ανάδοχος.</w:t>
      </w:r>
    </w:p>
    <w:p w:rsidR="005772D6" w:rsidRPr="005772D6" w:rsidRDefault="00A87370" w:rsidP="005772D6">
      <w:pPr>
        <w:pStyle w:val="a7"/>
        <w:numPr>
          <w:ilvl w:val="0"/>
          <w:numId w:val="13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>Ορίζεται ο εταίρος που θα είναι ο Συντονιστής/ επικεφαλής της ένωσης.</w:t>
      </w:r>
    </w:p>
    <w:p w:rsidR="00A87370" w:rsidRPr="005772D6" w:rsidRDefault="00A87370" w:rsidP="005772D6">
      <w:pPr>
        <w:pStyle w:val="a7"/>
        <w:numPr>
          <w:ilvl w:val="0"/>
          <w:numId w:val="13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Ορίζεται ο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Νόμιμος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Εκπρόσωπος της ένωσης, µε εξουσία να υπογράφει δεσμευτικά για τον Υποψήφιο την Προσφορά και όλα τα έγγραφα της 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 xml:space="preserve">πρόσκλησης. Σε περίπτωση που ο Υποψήφιος είναι ένα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νομικό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πρόσωπο, δεν απαιτείται αυτή η απόφαση, εάν η εξουσία προς εκπροσώπηση του υπογράφοντος απορρέει από το Καταστατικό ή άλλη πράξη που έχει δημοσιευτεί κατά τις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κείμενες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διατάξεις (ΦΕΚ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κ.λπ.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>).</w:t>
      </w:r>
    </w:p>
    <w:p w:rsidR="000D3C0F" w:rsidRPr="00BB1984" w:rsidRDefault="000D3C0F" w:rsidP="000D3C0F">
      <w:pPr>
        <w:pStyle w:val="a7"/>
        <w:shd w:val="clear" w:color="auto" w:fill="FFFFFF"/>
        <w:spacing w:line="293" w:lineRule="atLeast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26BAD" w:rsidRDefault="00526BAD" w:rsidP="00526BAD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26BAD" w:rsidRDefault="00526BAD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Φορολογική Ενημερότητα (Φορείς του Δημοσίου – Πλην Κεντρικής Κυβέρνησης).</w:t>
      </w:r>
    </w:p>
    <w:p w:rsidR="00526BAD" w:rsidRPr="00526BAD" w:rsidRDefault="00526BAD" w:rsidP="00526BAD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26BAD" w:rsidRDefault="00526BAD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Ασφαλιστική Ενημερότητα.</w:t>
      </w:r>
    </w:p>
    <w:p w:rsidR="00526BAD" w:rsidRPr="00526BAD" w:rsidRDefault="00526BAD" w:rsidP="00526BAD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26BAD" w:rsidRPr="00526BAD" w:rsidRDefault="00526BAD" w:rsidP="00526BAD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Αντίγραφο/Πιστοποιητικό Ποινικού Μητρώου.</w:t>
      </w:r>
    </w:p>
    <w:p w:rsidR="009F0128" w:rsidRPr="00BB1984" w:rsidRDefault="009F0128" w:rsidP="009F0128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B1984" w:rsidRPr="00BB1984" w:rsidRDefault="00BB1984" w:rsidP="00BB1984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>Σε περίπτωση ένωσης εταιρειών ή φυσικών προσώπων, όλα τα δικαιολογητικά συμμετοχής υποβάλλονται από κάθε µέλος της ένωσης.</w:t>
      </w:r>
    </w:p>
    <w:p w:rsidR="00BB1984" w:rsidRPr="00BB1984" w:rsidRDefault="00BB1984" w:rsidP="00BB1984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B1984" w:rsidRPr="00BB1984" w:rsidRDefault="00BB1984" w:rsidP="00BB1984">
      <w:pPr>
        <w:ind w:left="45"/>
        <w:jc w:val="both"/>
        <w:rPr>
          <w:rFonts w:ascii="Times New Roman" w:hAnsi="Times New Roman"/>
          <w:b/>
          <w:sz w:val="24"/>
          <w:szCs w:val="24"/>
        </w:rPr>
      </w:pPr>
      <w:r w:rsidRPr="00BB1984">
        <w:rPr>
          <w:rFonts w:ascii="Times New Roman" w:hAnsi="Times New Roman"/>
          <w:b/>
          <w:sz w:val="24"/>
          <w:szCs w:val="24"/>
        </w:rPr>
        <w:t>Η µη υποβολή των ανωτέρω δικαιολογητικών συνιστά λόγο αποκλεισμού του υποψηφίου.</w:t>
      </w:r>
    </w:p>
    <w:sectPr w:rsidR="00BB1984" w:rsidRPr="00BB1984" w:rsidSect="00464FF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A78" w:rsidRDefault="00855A78" w:rsidP="000865D0">
      <w:pPr>
        <w:spacing w:after="0" w:line="240" w:lineRule="auto"/>
      </w:pPr>
      <w:r>
        <w:separator/>
      </w:r>
    </w:p>
  </w:endnote>
  <w:endnote w:type="continuationSeparator" w:id="0">
    <w:p w:rsidR="00855A78" w:rsidRDefault="00855A78" w:rsidP="0008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F8" w:rsidRPr="002029A9" w:rsidRDefault="00FF51F8" w:rsidP="00B43043">
    <w:pPr>
      <w:pStyle w:val="a4"/>
      <w:jc w:val="center"/>
      <w:rPr>
        <w:rFonts w:ascii="Book Antiqua" w:hAnsi="Book Antiqua"/>
        <w:sz w:val="24"/>
        <w:szCs w:val="24"/>
      </w:rPr>
    </w:pPr>
  </w:p>
  <w:tbl>
    <w:tblPr>
      <w:tblStyle w:val="11"/>
      <w:tblW w:w="5098" w:type="dxa"/>
      <w:jc w:val="center"/>
      <w:tblInd w:w="0" w:type="dxa"/>
      <w:tblLook w:val="04A0" w:firstRow="1" w:lastRow="0" w:firstColumn="1" w:lastColumn="0" w:noHBand="0" w:noVBand="1"/>
    </w:tblPr>
    <w:tblGrid>
      <w:gridCol w:w="2287"/>
      <w:gridCol w:w="1011"/>
      <w:gridCol w:w="1800"/>
    </w:tblGrid>
    <w:tr w:rsidR="00DB746F" w:rsidRPr="005613CD" w:rsidTr="00913F78">
      <w:trPr>
        <w:trHeight w:val="433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B746F" w:rsidRPr="005613CD" w:rsidRDefault="00DB746F" w:rsidP="00DB746F">
          <w:pPr>
            <w:spacing w:after="0" w:line="240" w:lineRule="auto"/>
            <w:rPr>
              <w:sz w:val="10"/>
              <w:szCs w:val="10"/>
            </w:rPr>
          </w:pPr>
          <w:r w:rsidRPr="005613CD">
            <w:object w:dxaOrig="3090" w:dyaOrig="22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5pt;height:34.5pt">
                <v:imagedata r:id="rId1" o:title=""/>
              </v:shape>
              <o:OLEObject Type="Embed" ProgID="PBrush" ShapeID="_x0000_i1025" DrawAspect="Content" ObjectID="_1570880652" r:id="rId2"/>
            </w:objec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746F" w:rsidRPr="005613CD" w:rsidRDefault="00DB746F" w:rsidP="00DB746F">
          <w:pPr>
            <w:spacing w:after="0" w:line="240" w:lineRule="auto"/>
            <w:jc w:val="center"/>
            <w:rPr>
              <w:sz w:val="8"/>
              <w:szCs w:val="8"/>
            </w:rPr>
          </w:pPr>
          <w:r w:rsidRPr="005613CD">
            <w:rPr>
              <w:sz w:val="8"/>
              <w:szCs w:val="8"/>
            </w:rPr>
            <w:t>ΕΥΡΩΠΑΪΚΟ ΤΑΜΕΙΟ ΕΣΩΤΕΡΙΚΗΣ ΑΣΦΑΛΕΙΑΣ –</w:t>
          </w:r>
        </w:p>
        <w:p w:rsidR="00DB746F" w:rsidRPr="005613CD" w:rsidRDefault="00DB746F" w:rsidP="00DB746F">
          <w:pPr>
            <w:spacing w:after="0" w:line="240" w:lineRule="auto"/>
            <w:jc w:val="center"/>
            <w:rPr>
              <w:sz w:val="8"/>
              <w:szCs w:val="8"/>
            </w:rPr>
          </w:pPr>
          <w:r w:rsidRPr="005613CD">
            <w:rPr>
              <w:sz w:val="8"/>
              <w:szCs w:val="8"/>
            </w:rPr>
            <w:t>ΤΟΜΕΑΣ ΑΣΤΥΝΟΜΙΚΗΣ ΣΥΝΕΡΓΑΣΙΑΣ</w:t>
          </w:r>
        </w:p>
        <w:p w:rsidR="00DB746F" w:rsidRPr="005613CD" w:rsidRDefault="00DB746F" w:rsidP="00DB746F">
          <w:pPr>
            <w:spacing w:after="0" w:line="240" w:lineRule="auto"/>
            <w:jc w:val="center"/>
            <w:rPr>
              <w:sz w:val="8"/>
              <w:szCs w:val="8"/>
            </w:rPr>
          </w:pPr>
          <w:r w:rsidRPr="005613CD">
            <w:rPr>
              <w:sz w:val="8"/>
              <w:szCs w:val="8"/>
            </w:rPr>
            <w:t>(2014-2020)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B746F" w:rsidRPr="005613CD" w:rsidRDefault="00DB746F" w:rsidP="00DB746F">
          <w:pPr>
            <w:spacing w:after="0" w:line="240" w:lineRule="auto"/>
            <w:rPr>
              <w:sz w:val="10"/>
              <w:szCs w:val="10"/>
            </w:rPr>
          </w:pPr>
          <w:r w:rsidRPr="005613CD">
            <w:rPr>
              <w:noProof/>
              <w:sz w:val="10"/>
              <w:szCs w:val="10"/>
              <w:lang w:eastAsia="el-GR"/>
            </w:rPr>
            <w:drawing>
              <wp:inline distT="0" distB="0" distL="0" distR="0" wp14:anchorId="3140D341" wp14:editId="1EF53311">
                <wp:extent cx="981075" cy="409575"/>
                <wp:effectExtent l="0" t="0" r="9525" b="9525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jc w:val="center"/>
      <w:rPr>
        <w:rFonts w:asciiTheme="minorHAnsi" w:eastAsiaTheme="minorHAnsi" w:hAnsiTheme="minorHAnsi" w:cstheme="minorBidi"/>
        <w:b/>
        <w:bCs/>
        <w:sz w:val="14"/>
        <w:szCs w:val="14"/>
      </w:rPr>
    </w:pPr>
    <w:r w:rsidRPr="00903242">
      <w:rPr>
        <w:rFonts w:asciiTheme="minorHAnsi" w:eastAsiaTheme="minorHAnsi" w:hAnsiTheme="minorHAnsi" w:cstheme="minorBidi"/>
        <w:b/>
        <w:bCs/>
        <w:sz w:val="14"/>
        <w:szCs w:val="14"/>
      </w:rPr>
      <w:t xml:space="preserve">Δράση συγχρηματοδοτούμενη σε ποσοστό 75% από κοινοτικούς πόρους και 25% από εθνικούς πόρους που θα βαρύνει τις πιστώσεις του υπ΄ αριθμ. </w:t>
    </w:r>
    <w:r>
      <w:rPr>
        <w:rFonts w:asciiTheme="minorHAnsi" w:eastAsiaTheme="minorHAnsi" w:hAnsiTheme="minorHAnsi" w:cstheme="minorBidi"/>
        <w:b/>
        <w:bCs/>
        <w:sz w:val="14"/>
        <w:szCs w:val="14"/>
      </w:rPr>
      <w:t>2016ΣΕ05020013</w:t>
    </w:r>
    <w:r w:rsidRPr="00903242">
      <w:rPr>
        <w:rFonts w:asciiTheme="minorHAnsi" w:eastAsiaTheme="minorHAnsi" w:hAnsiTheme="minorHAnsi" w:cstheme="minorBidi"/>
        <w:b/>
        <w:bCs/>
        <w:sz w:val="14"/>
        <w:szCs w:val="14"/>
      </w:rPr>
      <w:t xml:space="preserve"> Έργου της ΣΑΕ 050/2 με τίτλο: «</w:t>
    </w:r>
    <w:r w:rsidRPr="00C25003">
      <w:rPr>
        <w:rFonts w:asciiTheme="minorHAnsi" w:eastAsiaTheme="minorHAnsi" w:hAnsiTheme="minorHAnsi" w:cstheme="minorBidi"/>
        <w:b/>
        <w:bCs/>
        <w:sz w:val="14"/>
        <w:szCs w:val="14"/>
      </w:rPr>
      <w:t>Στοχευμένες Δράσεις για την Αύξηση της Προστασίας των Εθνικά Χαρακτηρισμένων Ευρωπαϊκών Υποδομών Ζωτικής Σημασίας</w:t>
    </w:r>
    <w:r w:rsidRPr="00903242">
      <w:rPr>
        <w:rFonts w:asciiTheme="minorHAnsi" w:eastAsiaTheme="minorHAnsi" w:hAnsiTheme="minorHAnsi" w:cstheme="minorBidi"/>
        <w:b/>
        <w:bCs/>
        <w:sz w:val="14"/>
        <w:szCs w:val="14"/>
      </w:rPr>
      <w:t>».</w:t>
    </w: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jc w:val="center"/>
      <w:rPr>
        <w:rFonts w:asciiTheme="minorHAnsi" w:eastAsiaTheme="minorHAnsi" w:hAnsiTheme="minorHAnsi" w:cstheme="minorBidi"/>
        <w:b/>
        <w:bCs/>
        <w:sz w:val="14"/>
        <w:szCs w:val="14"/>
      </w:rPr>
    </w:pP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jc w:val="center"/>
      <w:rPr>
        <w:rFonts w:asciiTheme="minorHAnsi" w:eastAsiaTheme="minorHAnsi" w:hAnsiTheme="minorHAnsi" w:cstheme="minorBidi"/>
        <w:sz w:val="14"/>
        <w:szCs w:val="14"/>
      </w:rPr>
    </w:pP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ind w:left="-993"/>
      <w:jc w:val="center"/>
      <w:rPr>
        <w:rFonts w:ascii="Palatino Linotype" w:eastAsia="Times New Roman" w:hAnsi="Palatino Linotype"/>
        <w:i/>
        <w:sz w:val="16"/>
        <w:szCs w:val="16"/>
      </w:rPr>
    </w:pPr>
    <w:r w:rsidRPr="00903242">
      <w:rPr>
        <w:rFonts w:ascii="Palatino Linotype" w:eastAsia="Times New Roman" w:hAnsi="Palatino Linotype"/>
        <w:i/>
        <w:sz w:val="16"/>
        <w:szCs w:val="16"/>
      </w:rPr>
      <w:t xml:space="preserve">Π. Κανελλοπούλου 4, Τ.Κ. 101 77, Αθήνα τηλ.: 210 7481630, 210 7481347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Fax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210 7481995,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www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 w:cs="Calibri"/>
        <w:i/>
        <w:color w:val="C05700"/>
        <w:sz w:val="16"/>
        <w:szCs w:val="16"/>
      </w:rPr>
      <w:t>•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e</w:t>
    </w:r>
    <w:r w:rsidRPr="00903242">
      <w:rPr>
        <w:rFonts w:ascii="Palatino Linotype" w:eastAsia="Times New Roman" w:hAnsi="Palatino Linotype"/>
        <w:i/>
        <w:sz w:val="16"/>
        <w:szCs w:val="16"/>
      </w:rPr>
      <w:t>-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mail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@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</w:p>
  <w:p w:rsidR="00FF51F8" w:rsidRPr="002029A9" w:rsidRDefault="00FF51F8" w:rsidP="005738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A78" w:rsidRDefault="00855A78" w:rsidP="000865D0">
      <w:pPr>
        <w:spacing w:after="0" w:line="240" w:lineRule="auto"/>
      </w:pPr>
      <w:r>
        <w:separator/>
      </w:r>
    </w:p>
  </w:footnote>
  <w:footnote w:type="continuationSeparator" w:id="0">
    <w:p w:rsidR="00855A78" w:rsidRDefault="00855A78" w:rsidP="0008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F8" w:rsidRDefault="00FF51F8" w:rsidP="000865D0">
    <w:pPr>
      <w:pStyle w:val="a3"/>
      <w:tabs>
        <w:tab w:val="clear" w:pos="4153"/>
        <w:tab w:val="clear" w:pos="8306"/>
      </w:tabs>
      <w:rPr>
        <w:noProof/>
        <w:lang w:val="en-US" w:eastAsia="el-GR"/>
      </w:rPr>
    </w:pPr>
    <w:r>
      <w:rPr>
        <w:noProof/>
        <w:lang w:eastAsia="el-G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-300990</wp:posOffset>
          </wp:positionV>
          <wp:extent cx="1454785" cy="822325"/>
          <wp:effectExtent l="19050" t="0" r="0" b="0"/>
          <wp:wrapThrough wrapText="bothSides">
            <wp:wrapPolygon edited="0">
              <wp:start x="-283" y="0"/>
              <wp:lineTo x="-283" y="21016"/>
              <wp:lineTo x="21496" y="21016"/>
              <wp:lineTo x="21496" y="0"/>
              <wp:lineTo x="-283" y="0"/>
            </wp:wrapPolygon>
          </wp:wrapThrough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5" t="17143" r="12726" b="23714"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822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4722" w:type="dxa"/>
      <w:tblLook w:val="04A0" w:firstRow="1" w:lastRow="0" w:firstColumn="1" w:lastColumn="0" w:noHBand="0" w:noVBand="1"/>
    </w:tblPr>
    <w:tblGrid>
      <w:gridCol w:w="766"/>
      <w:gridCol w:w="3956"/>
    </w:tblGrid>
    <w:tr w:rsidR="00FF51F8" w:rsidRPr="001A16B8" w:rsidTr="00DB746F">
      <w:trPr>
        <w:trHeight w:val="198"/>
      </w:trPr>
      <w:tc>
        <w:tcPr>
          <w:tcW w:w="766" w:type="dxa"/>
          <w:vMerge w:val="restart"/>
          <w:tcBorders>
            <w:righ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956" w:type="dxa"/>
          <w:tcBorders>
            <w:lef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sz w:val="20"/>
              <w:szCs w:val="52"/>
            </w:rPr>
          </w:pPr>
          <w:r w:rsidRPr="001A16B8">
            <w:rPr>
              <w:color w:val="0F243E"/>
            </w:rPr>
            <w:t>ΚΕΝΤΡΟ ΜΕΛΕΤΩΝ ΑΣΦΑΛΕΙΑΣ</w:t>
          </w:r>
        </w:p>
      </w:tc>
    </w:tr>
    <w:tr w:rsidR="00FF51F8" w:rsidRPr="001A16B8" w:rsidTr="00DB746F">
      <w:trPr>
        <w:trHeight w:val="200"/>
      </w:trPr>
      <w:tc>
        <w:tcPr>
          <w:tcW w:w="766" w:type="dxa"/>
          <w:vMerge/>
          <w:tcBorders>
            <w:righ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956" w:type="dxa"/>
          <w:tcBorders>
            <w:lef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  <w:r w:rsidRPr="001A16B8">
            <w:rPr>
              <w:color w:val="95B3D7"/>
              <w:lang w:val="en-US"/>
            </w:rPr>
            <w:t>CENTER FOR SECURITY STUDIES</w:t>
          </w:r>
        </w:p>
      </w:tc>
    </w:tr>
  </w:tbl>
  <w:p w:rsidR="00FF51F8" w:rsidRPr="000865D0" w:rsidRDefault="00FF51F8" w:rsidP="000865D0">
    <w:pPr>
      <w:pStyle w:val="a3"/>
      <w:tabs>
        <w:tab w:val="clear" w:pos="4153"/>
        <w:tab w:val="clear" w:pos="8306"/>
      </w:tabs>
      <w:rPr>
        <w:sz w:val="20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88D"/>
    <w:multiLevelType w:val="hybridMultilevel"/>
    <w:tmpl w:val="5A780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198"/>
    <w:multiLevelType w:val="hybridMultilevel"/>
    <w:tmpl w:val="D5E2D1CE"/>
    <w:lvl w:ilvl="0" w:tplc="0408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CF257F"/>
    <w:multiLevelType w:val="hybridMultilevel"/>
    <w:tmpl w:val="F3ACCA58"/>
    <w:lvl w:ilvl="0" w:tplc="0E5C5F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A5E3A6F"/>
    <w:multiLevelType w:val="hybridMultilevel"/>
    <w:tmpl w:val="6B66B7D0"/>
    <w:lvl w:ilvl="0" w:tplc="4378AB4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CD2E9D"/>
    <w:multiLevelType w:val="hybridMultilevel"/>
    <w:tmpl w:val="44282D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0CDD"/>
    <w:multiLevelType w:val="hybridMultilevel"/>
    <w:tmpl w:val="AB8EDD44"/>
    <w:lvl w:ilvl="0" w:tplc="7A50AADE">
      <w:start w:val="1"/>
      <w:numFmt w:val="decimal"/>
      <w:lvlText w:val="%1."/>
      <w:lvlJc w:val="left"/>
      <w:pPr>
        <w:ind w:left="48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65" w:hanging="360"/>
      </w:pPr>
    </w:lvl>
    <w:lvl w:ilvl="2" w:tplc="0408001B" w:tentative="1">
      <w:start w:val="1"/>
      <w:numFmt w:val="lowerRoman"/>
      <w:lvlText w:val="%3."/>
      <w:lvlJc w:val="right"/>
      <w:pPr>
        <w:ind w:left="6285" w:hanging="180"/>
      </w:pPr>
    </w:lvl>
    <w:lvl w:ilvl="3" w:tplc="0408000F" w:tentative="1">
      <w:start w:val="1"/>
      <w:numFmt w:val="decimal"/>
      <w:lvlText w:val="%4."/>
      <w:lvlJc w:val="left"/>
      <w:pPr>
        <w:ind w:left="7005" w:hanging="360"/>
      </w:pPr>
    </w:lvl>
    <w:lvl w:ilvl="4" w:tplc="04080019" w:tentative="1">
      <w:start w:val="1"/>
      <w:numFmt w:val="lowerLetter"/>
      <w:lvlText w:val="%5."/>
      <w:lvlJc w:val="left"/>
      <w:pPr>
        <w:ind w:left="7725" w:hanging="360"/>
      </w:pPr>
    </w:lvl>
    <w:lvl w:ilvl="5" w:tplc="0408001B" w:tentative="1">
      <w:start w:val="1"/>
      <w:numFmt w:val="lowerRoman"/>
      <w:lvlText w:val="%6."/>
      <w:lvlJc w:val="right"/>
      <w:pPr>
        <w:ind w:left="8445" w:hanging="180"/>
      </w:pPr>
    </w:lvl>
    <w:lvl w:ilvl="6" w:tplc="0408000F" w:tentative="1">
      <w:start w:val="1"/>
      <w:numFmt w:val="decimal"/>
      <w:lvlText w:val="%7."/>
      <w:lvlJc w:val="left"/>
      <w:pPr>
        <w:ind w:left="9165" w:hanging="360"/>
      </w:pPr>
    </w:lvl>
    <w:lvl w:ilvl="7" w:tplc="04080019" w:tentative="1">
      <w:start w:val="1"/>
      <w:numFmt w:val="lowerLetter"/>
      <w:lvlText w:val="%8."/>
      <w:lvlJc w:val="left"/>
      <w:pPr>
        <w:ind w:left="9885" w:hanging="360"/>
      </w:pPr>
    </w:lvl>
    <w:lvl w:ilvl="8" w:tplc="0408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6" w15:restartNumberingAfterBreak="0">
    <w:nsid w:val="2EFF20C4"/>
    <w:multiLevelType w:val="hybridMultilevel"/>
    <w:tmpl w:val="59AEC59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33B"/>
    <w:multiLevelType w:val="hybridMultilevel"/>
    <w:tmpl w:val="53C2C58E"/>
    <w:lvl w:ilvl="0" w:tplc="C7EC32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9D13C46"/>
    <w:multiLevelType w:val="hybridMultilevel"/>
    <w:tmpl w:val="F394017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320FD"/>
    <w:multiLevelType w:val="hybridMultilevel"/>
    <w:tmpl w:val="6E02D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A5E54"/>
    <w:multiLevelType w:val="hybridMultilevel"/>
    <w:tmpl w:val="643CB982"/>
    <w:lvl w:ilvl="0" w:tplc="F5D6B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22135B"/>
    <w:multiLevelType w:val="hybridMultilevel"/>
    <w:tmpl w:val="964A071E"/>
    <w:lvl w:ilvl="0" w:tplc="C7EC32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1F8023E"/>
    <w:multiLevelType w:val="hybridMultilevel"/>
    <w:tmpl w:val="8458A6E6"/>
    <w:lvl w:ilvl="0" w:tplc="040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6F61C37"/>
    <w:multiLevelType w:val="hybridMultilevel"/>
    <w:tmpl w:val="33722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93275"/>
    <w:multiLevelType w:val="hybridMultilevel"/>
    <w:tmpl w:val="016CCD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D0"/>
    <w:rsid w:val="0000460D"/>
    <w:rsid w:val="0000547B"/>
    <w:rsid w:val="00011B9D"/>
    <w:rsid w:val="00013A25"/>
    <w:rsid w:val="000302DD"/>
    <w:rsid w:val="000337BF"/>
    <w:rsid w:val="00036ED0"/>
    <w:rsid w:val="0004250C"/>
    <w:rsid w:val="00042FEC"/>
    <w:rsid w:val="00052F22"/>
    <w:rsid w:val="0005347B"/>
    <w:rsid w:val="00060632"/>
    <w:rsid w:val="0006125F"/>
    <w:rsid w:val="00067294"/>
    <w:rsid w:val="00081157"/>
    <w:rsid w:val="000865D0"/>
    <w:rsid w:val="000A48B5"/>
    <w:rsid w:val="000C6CF5"/>
    <w:rsid w:val="000D17B5"/>
    <w:rsid w:val="000D3C0F"/>
    <w:rsid w:val="000D634F"/>
    <w:rsid w:val="000F07BD"/>
    <w:rsid w:val="000F3569"/>
    <w:rsid w:val="00120802"/>
    <w:rsid w:val="00124753"/>
    <w:rsid w:val="00140E9C"/>
    <w:rsid w:val="00141AB7"/>
    <w:rsid w:val="00160106"/>
    <w:rsid w:val="001800D4"/>
    <w:rsid w:val="00180F06"/>
    <w:rsid w:val="001A16B8"/>
    <w:rsid w:val="001A5F69"/>
    <w:rsid w:val="001B61DD"/>
    <w:rsid w:val="001C0A33"/>
    <w:rsid w:val="001C10E1"/>
    <w:rsid w:val="001C649B"/>
    <w:rsid w:val="001D7533"/>
    <w:rsid w:val="001E61B3"/>
    <w:rsid w:val="001F4E7F"/>
    <w:rsid w:val="002029A9"/>
    <w:rsid w:val="00204AE1"/>
    <w:rsid w:val="00223F8D"/>
    <w:rsid w:val="002476C1"/>
    <w:rsid w:val="00250A51"/>
    <w:rsid w:val="00255B1C"/>
    <w:rsid w:val="00255F54"/>
    <w:rsid w:val="00261BD4"/>
    <w:rsid w:val="002643D1"/>
    <w:rsid w:val="00275486"/>
    <w:rsid w:val="00282011"/>
    <w:rsid w:val="0028708A"/>
    <w:rsid w:val="00294157"/>
    <w:rsid w:val="002B1BB2"/>
    <w:rsid w:val="002C1A7E"/>
    <w:rsid w:val="002C2BFF"/>
    <w:rsid w:val="002C6009"/>
    <w:rsid w:val="002F272C"/>
    <w:rsid w:val="00325835"/>
    <w:rsid w:val="0032700A"/>
    <w:rsid w:val="00345D1C"/>
    <w:rsid w:val="00353C4E"/>
    <w:rsid w:val="00374035"/>
    <w:rsid w:val="0037522F"/>
    <w:rsid w:val="00377848"/>
    <w:rsid w:val="00385BA3"/>
    <w:rsid w:val="003862B3"/>
    <w:rsid w:val="00391FB9"/>
    <w:rsid w:val="003924DA"/>
    <w:rsid w:val="003959F9"/>
    <w:rsid w:val="003C4EB2"/>
    <w:rsid w:val="003D0A3A"/>
    <w:rsid w:val="003E51C7"/>
    <w:rsid w:val="004011F6"/>
    <w:rsid w:val="00403653"/>
    <w:rsid w:val="00413BFD"/>
    <w:rsid w:val="0042516C"/>
    <w:rsid w:val="00426E7D"/>
    <w:rsid w:val="00427900"/>
    <w:rsid w:val="004344FB"/>
    <w:rsid w:val="00447AB9"/>
    <w:rsid w:val="00457EBE"/>
    <w:rsid w:val="00460B08"/>
    <w:rsid w:val="00464FFA"/>
    <w:rsid w:val="00477450"/>
    <w:rsid w:val="0048126D"/>
    <w:rsid w:val="00497B7B"/>
    <w:rsid w:val="004A2EA8"/>
    <w:rsid w:val="004A4115"/>
    <w:rsid w:val="004C089F"/>
    <w:rsid w:val="004D1108"/>
    <w:rsid w:val="004E015A"/>
    <w:rsid w:val="005010FC"/>
    <w:rsid w:val="00506C46"/>
    <w:rsid w:val="00517169"/>
    <w:rsid w:val="005174D3"/>
    <w:rsid w:val="00526BAD"/>
    <w:rsid w:val="005317CB"/>
    <w:rsid w:val="005632D3"/>
    <w:rsid w:val="0056365E"/>
    <w:rsid w:val="0056499F"/>
    <w:rsid w:val="005738E8"/>
    <w:rsid w:val="005772D6"/>
    <w:rsid w:val="00580D90"/>
    <w:rsid w:val="00581591"/>
    <w:rsid w:val="00585749"/>
    <w:rsid w:val="005A612F"/>
    <w:rsid w:val="005C69C4"/>
    <w:rsid w:val="005C7A3C"/>
    <w:rsid w:val="005D2798"/>
    <w:rsid w:val="005D3532"/>
    <w:rsid w:val="005F1834"/>
    <w:rsid w:val="00603FD1"/>
    <w:rsid w:val="00604091"/>
    <w:rsid w:val="00621533"/>
    <w:rsid w:val="00622A01"/>
    <w:rsid w:val="006257FA"/>
    <w:rsid w:val="00634A58"/>
    <w:rsid w:val="00654D50"/>
    <w:rsid w:val="0066480C"/>
    <w:rsid w:val="006720CE"/>
    <w:rsid w:val="006747C0"/>
    <w:rsid w:val="0068322C"/>
    <w:rsid w:val="00687929"/>
    <w:rsid w:val="00690878"/>
    <w:rsid w:val="006C3ACC"/>
    <w:rsid w:val="006C66DD"/>
    <w:rsid w:val="006C7AFA"/>
    <w:rsid w:val="006C7FC4"/>
    <w:rsid w:val="006D10DF"/>
    <w:rsid w:val="00713E05"/>
    <w:rsid w:val="0071525C"/>
    <w:rsid w:val="007172B9"/>
    <w:rsid w:val="0072282E"/>
    <w:rsid w:val="00727D0A"/>
    <w:rsid w:val="00743B92"/>
    <w:rsid w:val="00743C36"/>
    <w:rsid w:val="00743F31"/>
    <w:rsid w:val="007504CC"/>
    <w:rsid w:val="007544C2"/>
    <w:rsid w:val="0076010B"/>
    <w:rsid w:val="0077798E"/>
    <w:rsid w:val="007917C2"/>
    <w:rsid w:val="007917EE"/>
    <w:rsid w:val="007B708B"/>
    <w:rsid w:val="007C4A3F"/>
    <w:rsid w:val="007E3E55"/>
    <w:rsid w:val="007E530A"/>
    <w:rsid w:val="007F278A"/>
    <w:rsid w:val="008326B7"/>
    <w:rsid w:val="00840D3B"/>
    <w:rsid w:val="00841CDD"/>
    <w:rsid w:val="0084530C"/>
    <w:rsid w:val="00852431"/>
    <w:rsid w:val="00855A78"/>
    <w:rsid w:val="00855F62"/>
    <w:rsid w:val="0086267B"/>
    <w:rsid w:val="008659FA"/>
    <w:rsid w:val="008764AB"/>
    <w:rsid w:val="00877EE2"/>
    <w:rsid w:val="00886E37"/>
    <w:rsid w:val="008A7E0A"/>
    <w:rsid w:val="008B07F1"/>
    <w:rsid w:val="008B5624"/>
    <w:rsid w:val="008C0A39"/>
    <w:rsid w:val="008C2E81"/>
    <w:rsid w:val="008C38E4"/>
    <w:rsid w:val="008F6E53"/>
    <w:rsid w:val="00903242"/>
    <w:rsid w:val="00904781"/>
    <w:rsid w:val="00912BAC"/>
    <w:rsid w:val="00956F0E"/>
    <w:rsid w:val="00960740"/>
    <w:rsid w:val="00960851"/>
    <w:rsid w:val="00966DE4"/>
    <w:rsid w:val="00967586"/>
    <w:rsid w:val="00975DA3"/>
    <w:rsid w:val="00991EA5"/>
    <w:rsid w:val="009A46F9"/>
    <w:rsid w:val="009B3294"/>
    <w:rsid w:val="009D7AA1"/>
    <w:rsid w:val="009D7F83"/>
    <w:rsid w:val="009E723A"/>
    <w:rsid w:val="009F0128"/>
    <w:rsid w:val="00A23B00"/>
    <w:rsid w:val="00A2435E"/>
    <w:rsid w:val="00A25467"/>
    <w:rsid w:val="00A30249"/>
    <w:rsid w:val="00A368BC"/>
    <w:rsid w:val="00A37E55"/>
    <w:rsid w:val="00A45350"/>
    <w:rsid w:val="00A463D6"/>
    <w:rsid w:val="00A4784A"/>
    <w:rsid w:val="00A765B0"/>
    <w:rsid w:val="00A77A37"/>
    <w:rsid w:val="00A87370"/>
    <w:rsid w:val="00AB36C1"/>
    <w:rsid w:val="00AB53F0"/>
    <w:rsid w:val="00AC053C"/>
    <w:rsid w:val="00AD3760"/>
    <w:rsid w:val="00B04D7F"/>
    <w:rsid w:val="00B04E28"/>
    <w:rsid w:val="00B14CBE"/>
    <w:rsid w:val="00B312CD"/>
    <w:rsid w:val="00B41993"/>
    <w:rsid w:val="00B43043"/>
    <w:rsid w:val="00B5368C"/>
    <w:rsid w:val="00B543E7"/>
    <w:rsid w:val="00B61C87"/>
    <w:rsid w:val="00B6202D"/>
    <w:rsid w:val="00B660EC"/>
    <w:rsid w:val="00B775DE"/>
    <w:rsid w:val="00B77D92"/>
    <w:rsid w:val="00B92D0E"/>
    <w:rsid w:val="00BA0019"/>
    <w:rsid w:val="00BA5254"/>
    <w:rsid w:val="00BA533F"/>
    <w:rsid w:val="00BA5A5E"/>
    <w:rsid w:val="00BB02E0"/>
    <w:rsid w:val="00BB1984"/>
    <w:rsid w:val="00BB1AA8"/>
    <w:rsid w:val="00BB74BE"/>
    <w:rsid w:val="00BD0E41"/>
    <w:rsid w:val="00BD61A4"/>
    <w:rsid w:val="00BF1D47"/>
    <w:rsid w:val="00BF3F47"/>
    <w:rsid w:val="00C042E7"/>
    <w:rsid w:val="00C0529C"/>
    <w:rsid w:val="00C127E8"/>
    <w:rsid w:val="00C14B76"/>
    <w:rsid w:val="00C25003"/>
    <w:rsid w:val="00C3694B"/>
    <w:rsid w:val="00C651D2"/>
    <w:rsid w:val="00C6578F"/>
    <w:rsid w:val="00C84074"/>
    <w:rsid w:val="00C8517F"/>
    <w:rsid w:val="00C90258"/>
    <w:rsid w:val="00CA2FBC"/>
    <w:rsid w:val="00CA3BA1"/>
    <w:rsid w:val="00CB20AF"/>
    <w:rsid w:val="00CB2B88"/>
    <w:rsid w:val="00CB6F2A"/>
    <w:rsid w:val="00CD086D"/>
    <w:rsid w:val="00CE10C3"/>
    <w:rsid w:val="00CE556F"/>
    <w:rsid w:val="00CF5E5F"/>
    <w:rsid w:val="00CF7B3B"/>
    <w:rsid w:val="00CF7BC7"/>
    <w:rsid w:val="00D0507C"/>
    <w:rsid w:val="00D05412"/>
    <w:rsid w:val="00D1067B"/>
    <w:rsid w:val="00D256EE"/>
    <w:rsid w:val="00D44286"/>
    <w:rsid w:val="00D45EAB"/>
    <w:rsid w:val="00D772F7"/>
    <w:rsid w:val="00D91F72"/>
    <w:rsid w:val="00D93DB5"/>
    <w:rsid w:val="00D96ECD"/>
    <w:rsid w:val="00D97E0F"/>
    <w:rsid w:val="00D97F68"/>
    <w:rsid w:val="00DB245F"/>
    <w:rsid w:val="00DB746F"/>
    <w:rsid w:val="00DC2513"/>
    <w:rsid w:val="00DC584D"/>
    <w:rsid w:val="00DC6A06"/>
    <w:rsid w:val="00DD7ECE"/>
    <w:rsid w:val="00DE00E5"/>
    <w:rsid w:val="00DE51E6"/>
    <w:rsid w:val="00DE5A46"/>
    <w:rsid w:val="00DF3E1E"/>
    <w:rsid w:val="00E16801"/>
    <w:rsid w:val="00E20312"/>
    <w:rsid w:val="00E2518E"/>
    <w:rsid w:val="00E32F94"/>
    <w:rsid w:val="00E42663"/>
    <w:rsid w:val="00E45228"/>
    <w:rsid w:val="00E52BA0"/>
    <w:rsid w:val="00E531A2"/>
    <w:rsid w:val="00E770A9"/>
    <w:rsid w:val="00E77DBE"/>
    <w:rsid w:val="00E90F87"/>
    <w:rsid w:val="00EA23DF"/>
    <w:rsid w:val="00EE49DC"/>
    <w:rsid w:val="00EF0641"/>
    <w:rsid w:val="00EF1F64"/>
    <w:rsid w:val="00EF7506"/>
    <w:rsid w:val="00F67275"/>
    <w:rsid w:val="00F93ACA"/>
    <w:rsid w:val="00FA06B7"/>
    <w:rsid w:val="00FB3765"/>
    <w:rsid w:val="00FD3189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9770A-BC64-4943-A08D-453BC72D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E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5D27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65D0"/>
  </w:style>
  <w:style w:type="paragraph" w:styleId="a4">
    <w:name w:val="footer"/>
    <w:basedOn w:val="a"/>
    <w:link w:val="Char0"/>
    <w:uiPriority w:val="99"/>
    <w:unhideWhenUsed/>
    <w:rsid w:val="00086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65D0"/>
  </w:style>
  <w:style w:type="paragraph" w:styleId="a5">
    <w:name w:val="Balloon Text"/>
    <w:basedOn w:val="a"/>
    <w:link w:val="Char1"/>
    <w:uiPriority w:val="99"/>
    <w:semiHidden/>
    <w:unhideWhenUsed/>
    <w:rsid w:val="0008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865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6C66DD"/>
    <w:rPr>
      <w:color w:val="0000FF"/>
      <w:u w:val="single"/>
    </w:rPr>
  </w:style>
  <w:style w:type="character" w:customStyle="1" w:styleId="1Char">
    <w:name w:val="Επικεφαλίδα 1 Char"/>
    <w:link w:val="1"/>
    <w:rsid w:val="005D2798"/>
    <w:rPr>
      <w:rFonts w:ascii="Times New Roman" w:eastAsia="Times New Roman" w:hAnsi="Times New Roman"/>
      <w:b/>
      <w:sz w:val="26"/>
      <w:u w:val="single"/>
      <w:lang w:eastAsia="el-GR"/>
    </w:rPr>
  </w:style>
  <w:style w:type="table" w:customStyle="1" w:styleId="LightShading-Accent1">
    <w:name w:val="Light Shading - Accent 1"/>
    <w:basedOn w:val="a1"/>
    <w:uiPriority w:val="60"/>
    <w:rsid w:val="00B543E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List Paragraph"/>
    <w:basedOn w:val="a"/>
    <w:uiPriority w:val="34"/>
    <w:qFormat/>
    <w:rsid w:val="00036ED0"/>
    <w:pPr>
      <w:ind w:left="720"/>
      <w:contextualSpacing/>
    </w:pPr>
  </w:style>
  <w:style w:type="table" w:customStyle="1" w:styleId="10">
    <w:name w:val="Πλέγμα πίνακα1"/>
    <w:basedOn w:val="a1"/>
    <w:next w:val="a6"/>
    <w:uiPriority w:val="59"/>
    <w:unhideWhenUsed/>
    <w:rsid w:val="0090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6"/>
    <w:rsid w:val="00C6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uiPriority w:val="59"/>
    <w:rsid w:val="00DB746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6B5F-4712-47B7-89B8-DC61D84C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Moustakidis</dc:creator>
  <cp:lastModifiedBy>elli pagourtzi</cp:lastModifiedBy>
  <cp:revision>2</cp:revision>
  <cp:lastPrinted>2014-10-23T12:29:00Z</cp:lastPrinted>
  <dcterms:created xsi:type="dcterms:W3CDTF">2017-10-30T12:58:00Z</dcterms:created>
  <dcterms:modified xsi:type="dcterms:W3CDTF">2017-10-30T12:58:00Z</dcterms:modified>
</cp:coreProperties>
</file>