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02A0A" w14:textId="77777777" w:rsidR="00551A0C" w:rsidRPr="00551A0C" w:rsidRDefault="00551A0C" w:rsidP="006C6F66">
      <w:pPr>
        <w:pStyle w:val="a3"/>
        <w:widowControl w:val="0"/>
        <w:tabs>
          <w:tab w:val="left" w:pos="7513"/>
        </w:tabs>
        <w:autoSpaceDE w:val="0"/>
        <w:autoSpaceDN w:val="0"/>
        <w:adjustRightInd w:val="0"/>
        <w:jc w:val="both"/>
        <w:rPr>
          <w:rFonts w:ascii="Times New Roman" w:hAnsi="Times New Roman"/>
        </w:rPr>
      </w:pPr>
      <w:bookmarkStart w:id="0" w:name="_GoBack"/>
      <w:bookmarkEnd w:id="0"/>
    </w:p>
    <w:p w14:paraId="493C9855" w14:textId="23E2F203" w:rsidR="003E1F3C" w:rsidRDefault="003E1F3C"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4FF8D291" w14:textId="1773FBD2" w:rsidR="006C6F66" w:rsidRPr="006C6F66" w:rsidRDefault="006C6F66" w:rsidP="006C6F66">
      <w:pPr>
        <w:widowControl w:val="0"/>
        <w:tabs>
          <w:tab w:val="left" w:pos="7513"/>
        </w:tabs>
        <w:autoSpaceDE w:val="0"/>
        <w:autoSpaceDN w:val="0"/>
        <w:adjustRightInd w:val="0"/>
        <w:jc w:val="center"/>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w:t>
      </w:r>
      <w:proofErr w:type="spellStart"/>
      <w:r w:rsidRPr="006C6F66">
        <w:rPr>
          <w:rFonts w:ascii="Palatino Linotype" w:hAnsi="Palatino Linotype"/>
          <w:b/>
          <w:color w:val="0070C0"/>
          <w:sz w:val="22"/>
          <w:szCs w:val="22"/>
          <w:lang w:val="el-GR"/>
        </w:rPr>
        <w:t>Στοχευμένες</w:t>
      </w:r>
      <w:proofErr w:type="spellEnd"/>
      <w:r w:rsidRPr="006C6F66">
        <w:rPr>
          <w:rFonts w:ascii="Palatino Linotype" w:hAnsi="Palatino Linotype"/>
          <w:b/>
          <w:color w:val="0070C0"/>
          <w:sz w:val="22"/>
          <w:szCs w:val="22"/>
          <w:lang w:val="el-GR"/>
        </w:rPr>
        <w:t xml:space="preserve"> Δράσεις για την Αύξηση της Προστασίας των Εθνικά Χαρακτηρισμένων Ευρωπαϊκών Υποδομών Ζωτικής  Σημασίας»</w:t>
      </w:r>
    </w:p>
    <w:p w14:paraId="17B2E017"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444B9CE9"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23CF6638"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571F4C93" w14:textId="77777777" w:rsid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Το ΚΕ.ΜΕ.Α., υλοποιεί τη Δράση με τίτλο «</w:t>
      </w:r>
      <w:proofErr w:type="spellStart"/>
      <w:r w:rsidRPr="006C6F66">
        <w:rPr>
          <w:rFonts w:ascii="Palatino Linotype" w:hAnsi="Palatino Linotype"/>
          <w:b/>
          <w:color w:val="0070C0"/>
          <w:sz w:val="22"/>
          <w:szCs w:val="22"/>
          <w:lang w:val="el-GR"/>
        </w:rPr>
        <w:t>Στοχευμένες</w:t>
      </w:r>
      <w:proofErr w:type="spellEnd"/>
      <w:r w:rsidRPr="006C6F66">
        <w:rPr>
          <w:rFonts w:ascii="Palatino Linotype" w:hAnsi="Palatino Linotype"/>
          <w:b/>
          <w:color w:val="0070C0"/>
          <w:sz w:val="22"/>
          <w:szCs w:val="22"/>
          <w:lang w:val="el-GR"/>
        </w:rPr>
        <w:t xml:space="preserve"> Δράσεις για την Αύξηση της Προστασίας των Εθνικά Χαρακτηρισμένων Ευρωπαϊκών Υποδομών Ζωτικής  Σημασίας» λαμβάνοντας υπόψη α. την υπ' αριθ. 268 από 8/08/2016 συνεδρίαση του Δ.Σ. του, β. το Π.Δ. 118/2007 (ΦΕΚ 150/Α/10.07.2007) Κανονισμός Προμηθειών Δημοσίου, γ. τον κανονισμό (ΕΕ) αριθ. 513/2014 του Ευρωπαϊκού Κοινοβουλίου και του Συμβουλίου της 16ης Απριλίου 2014 για τη θέσπιση, στο πλαίσιο του Ταμείου Εσωτερικής Ασφάλειας, του μέσου για τη χρηματοδοτική στήριξη της αστυνομικής συνεργασίας, της πρόληψης και καταστολής της εγκληματικότητας και της διαχείρισης των κρίσεων, και για την κατάργηση της απόφασης 2007/125/ΔΕΥ του Συμβουλίου, δ. τον Κανονισμό (ΕΕ) αριθ. 514/2014 του Ευρωπαϊκού Κοινοβουλίου και του Συμβουλίου της 16ης Απριλίου 2014 σχετικά με τον καθορισμό γενικών διατάξεων όσον αφορά το Ταμείο Ασύλου, Μετανάστευσης και Ένταξης και το μέσο για τη χρηματοδοτική στήριξη της αστυνομικής συνεργασίας, της πρόληψης και καταστολής της εγκληματικότητας και της διαχείρισης κρίσεων και ε. την υπ’ </w:t>
      </w:r>
      <w:proofErr w:type="spellStart"/>
      <w:r w:rsidRPr="006C6F66">
        <w:rPr>
          <w:rFonts w:ascii="Palatino Linotype" w:hAnsi="Palatino Linotype"/>
          <w:b/>
          <w:color w:val="0070C0"/>
          <w:sz w:val="22"/>
          <w:szCs w:val="22"/>
          <w:lang w:val="el-GR"/>
        </w:rPr>
        <w:t>αρίθμ</w:t>
      </w:r>
      <w:proofErr w:type="spellEnd"/>
      <w:r w:rsidRPr="006C6F66">
        <w:rPr>
          <w:rFonts w:ascii="Palatino Linotype" w:hAnsi="Palatino Linotype"/>
          <w:b/>
          <w:color w:val="0070C0"/>
          <w:sz w:val="22"/>
          <w:szCs w:val="22"/>
          <w:lang w:val="el-GR"/>
        </w:rPr>
        <w:t>. ISFP/90/1-κγ από 14/06/2016 Απόφαση Χορήγησης της Δράσης «</w:t>
      </w:r>
      <w:proofErr w:type="spellStart"/>
      <w:r w:rsidRPr="006C6F66">
        <w:rPr>
          <w:rFonts w:ascii="Palatino Linotype" w:hAnsi="Palatino Linotype"/>
          <w:b/>
          <w:color w:val="0070C0"/>
          <w:sz w:val="22"/>
          <w:szCs w:val="22"/>
          <w:lang w:val="el-GR"/>
        </w:rPr>
        <w:t>Στοχευμένες</w:t>
      </w:r>
      <w:proofErr w:type="spellEnd"/>
      <w:r w:rsidRPr="006C6F66">
        <w:rPr>
          <w:rFonts w:ascii="Palatino Linotype" w:hAnsi="Palatino Linotype"/>
          <w:b/>
          <w:color w:val="0070C0"/>
          <w:sz w:val="22"/>
          <w:szCs w:val="22"/>
          <w:lang w:val="el-GR"/>
        </w:rPr>
        <w:t xml:space="preserve"> Δράσεις για την Αύξηση της Προστασίας των Εθνικά Χαρακτηρισμένων Ευρωπαϊκών Υποδομών Ζωτικής  Σημασίας» στο Εθνικό Πρόγραμμα του Ευρωπαϊκού Ταμείου Εσωτερικής Ασφαλείας/Τομέας Αστυνομικής Συνεργασίας 2014-2020.      Περίληψη Δράσης     Η Δράση περιλαμβάνει μια σειρά συμπληρωματικών δράσεων και παραδοτέων που αναπτύσσονται διεξοδικά στη συνέχεια, με σκοπό να προσφέρουν ένα κοινά αποδεκτό επίπεδο ασφάλειας και προστασίας στις Υποδομές Ζωτικής Σημασίας (Υ.Ζ.Σ.), το οποίο θα προέλθει από συνεχή συνεργασία των φορέων που είναι επιφορτισμένοι με την Ασφάλεια και την προστασία των πολιτών με τους λειτουργούς και υπεύθυνους Ασφάλειας των Υ.Ζ.Σ., ώστε να καθοριστεί ένα πλαίσιο συνεργασίας μεταξύ των εμπλεκομένων, που εντέλει θα ενισχύσει την ανθεκτικότητα των υποδομών έναντι πολλαπλών κινδύνων (</w:t>
      </w:r>
      <w:proofErr w:type="spellStart"/>
      <w:r w:rsidRPr="006C6F66">
        <w:rPr>
          <w:rFonts w:ascii="Palatino Linotype" w:hAnsi="Palatino Linotype"/>
          <w:b/>
          <w:color w:val="0070C0"/>
          <w:sz w:val="22"/>
          <w:szCs w:val="22"/>
          <w:lang w:val="el-GR"/>
        </w:rPr>
        <w:t>all</w:t>
      </w:r>
      <w:proofErr w:type="spellEnd"/>
      <w:r w:rsidRPr="006C6F66">
        <w:rPr>
          <w:rFonts w:ascii="Palatino Linotype" w:hAnsi="Palatino Linotype"/>
          <w:b/>
          <w:color w:val="0070C0"/>
          <w:sz w:val="22"/>
          <w:szCs w:val="22"/>
          <w:lang w:val="el-GR"/>
        </w:rPr>
        <w:t xml:space="preserve"> </w:t>
      </w:r>
      <w:proofErr w:type="spellStart"/>
      <w:r w:rsidRPr="006C6F66">
        <w:rPr>
          <w:rFonts w:ascii="Palatino Linotype" w:hAnsi="Palatino Linotype"/>
          <w:b/>
          <w:color w:val="0070C0"/>
          <w:sz w:val="22"/>
          <w:szCs w:val="22"/>
          <w:lang w:val="el-GR"/>
        </w:rPr>
        <w:t>hazards</w:t>
      </w:r>
      <w:proofErr w:type="spellEnd"/>
      <w:r w:rsidRPr="006C6F66">
        <w:rPr>
          <w:rFonts w:ascii="Palatino Linotype" w:hAnsi="Palatino Linotype"/>
          <w:b/>
          <w:color w:val="0070C0"/>
          <w:sz w:val="22"/>
          <w:szCs w:val="22"/>
          <w:lang w:val="el-GR"/>
        </w:rPr>
        <w:t xml:space="preserve"> </w:t>
      </w:r>
      <w:proofErr w:type="spellStart"/>
      <w:r w:rsidRPr="006C6F66">
        <w:rPr>
          <w:rFonts w:ascii="Palatino Linotype" w:hAnsi="Palatino Linotype"/>
          <w:b/>
          <w:color w:val="0070C0"/>
          <w:sz w:val="22"/>
          <w:szCs w:val="22"/>
          <w:lang w:val="el-GR"/>
        </w:rPr>
        <w:t>approach</w:t>
      </w:r>
      <w:proofErr w:type="spellEnd"/>
      <w:r w:rsidRPr="006C6F66">
        <w:rPr>
          <w:rFonts w:ascii="Palatino Linotype" w:hAnsi="Palatino Linotype"/>
          <w:b/>
          <w:color w:val="0070C0"/>
          <w:sz w:val="22"/>
          <w:szCs w:val="22"/>
          <w:lang w:val="el-GR"/>
        </w:rPr>
        <w:t xml:space="preserve">) και της κοινωνίας, της οποίας οι υποδομές ζωτικής σημασίας αποτελούν βασικό πυλώνα λειτουργίας.    </w:t>
      </w:r>
    </w:p>
    <w:p w14:paraId="5B18A238" w14:textId="77777777" w:rsid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546B173C" w14:textId="66C97EF6" w:rsidR="005F28FD"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Οι ενότητες (Πακέτα Εργασίας) της προτεινόμενης δράσης είναι:   </w:t>
      </w:r>
    </w:p>
    <w:p w14:paraId="5B78623E" w14:textId="345DC675" w:rsid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0A5739DC"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Πακέτο Εργασίας 0: Διοίκηση και Συντονισμός έργου   Ε0.1 Διοικητική και οικονομική διαχείριση του έργου με την υποβολή ετησίων εκθέσεων προόδου φυσικού και </w:t>
      </w:r>
      <w:r w:rsidRPr="006C6F66">
        <w:rPr>
          <w:rFonts w:ascii="Palatino Linotype" w:hAnsi="Palatino Linotype"/>
          <w:b/>
          <w:color w:val="0070C0"/>
          <w:sz w:val="22"/>
          <w:szCs w:val="22"/>
          <w:lang w:val="el-GR"/>
        </w:rPr>
        <w:lastRenderedPageBreak/>
        <w:t xml:space="preserve">οικονομικού αντικειμένου. Ε0.2 Διμηνιαίες συναντήσεις της ομάδας έργου και τριμηνιαία παρουσίαση των πακέτων εργασίας. Ε0.3 Εσωτερική και εξωτερική αξιολόγηση του έργου. Η εσωτερική αξιολόγηση θα πραγματοποιηθεί με τη συμπλήρωση ποιοτικών και ποσοτικών ερωτηματολογίων από τους εμπλεκομένους από τις ομάδες στόχο. Η εξωτερική αξιολόγηση θα πραγματοποιηθεί από εξωτερικό </w:t>
      </w:r>
      <w:proofErr w:type="spellStart"/>
      <w:r w:rsidRPr="006C6F66">
        <w:rPr>
          <w:rFonts w:ascii="Palatino Linotype" w:hAnsi="Palatino Linotype"/>
          <w:b/>
          <w:color w:val="0070C0"/>
          <w:sz w:val="22"/>
          <w:szCs w:val="22"/>
          <w:lang w:val="el-GR"/>
        </w:rPr>
        <w:t>αξιολογητή</w:t>
      </w:r>
      <w:proofErr w:type="spellEnd"/>
      <w:r w:rsidRPr="006C6F66">
        <w:rPr>
          <w:rFonts w:ascii="Palatino Linotype" w:hAnsi="Palatino Linotype"/>
          <w:b/>
          <w:color w:val="0070C0"/>
          <w:sz w:val="22"/>
          <w:szCs w:val="22"/>
          <w:lang w:val="el-GR"/>
        </w:rPr>
        <w:t xml:space="preserve"> για την επιλογή του οποίου θα υπάρξει ειδική πρόσκληση ενδιαφέροντος.   </w:t>
      </w:r>
    </w:p>
    <w:p w14:paraId="4F536066"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4CA5FABA"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Πακέτο Εργασίας 1: Οδικός χάρτης για την προστασία Υ.Ζ.Σ. E1.1 Δημιουργία οδικού χάρτη για την προστασία Υ.Ζ.Σ., όπου θα περιλαμβάνει καταγραφή εμπλεκομένων φορέων, νομικού πλαισίου και ευρωπαϊκών δράσεων, αποτελέσματα σχετικών ερευνητικών και αναπτυξιακών έργων, δυνητικές χρηματοδοτήσεις, επερχόμενα συνέδρια και ημερίδες, κ.λπ..   </w:t>
      </w:r>
    </w:p>
    <w:p w14:paraId="16908AF6"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422FCD98"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Πακέτο Εργασίας 2:  Πρότυπα Σχέδια προστασίας Ε.Υ.Ζ.Σ. Ε2.1 Πρότυπο Σχέδιο Εκτίμησης Επικινδυνότητας Ε.Υ.Ζ.Σ. που θα βασίζεται σε κοινή προσέγγιση έναντι όλων των ειδών απειλής.  Ε2.2 Πρότυπο Σχέδιο Εκτίμησης Τρωτότητας Ε.Υ.Ζ.Σ., που θα βασίζεται σε κοινή προσέγγιση αναγνώρισης των τρωτών σημείων των υποδομών. Ε2.3 Πρότυπο Σχέδιο Αναφοράς Ασφαλείας Λειτουργίας Ε.Υ.Ζ.Σ., που θα χρησιμεύσει ως οδηγός, για τη βελτίωση της ασφάλειας και της ανθεκτικότητας των εγκαταστάσεων, ενώ θα συμπληρώνεται από μια μεθοδολογία εκτίμησης τρωτότητας εγκαταστάσεων Ε2.4 Πρότυπο Σχέδιο Διαχείρισης Έκτακτων Καταστάσεων Ε.Υ.Ζ.Σ., που θα αποτελέσει οδηγό για την αντιμετώπιση εκτάκτων καταστάσεων διαφορετικών ειδών κινδύνου, ενώ θα περιέχει και εξειδικευμένα θέματα όπως σχέδια εκκενώσεων, διαχείριση Χ.Β.Ρ.Π., κ.α.  Ε2.5 Πρότυπο Σχέδιο Αναφοράς για Αδιάλειπτη Λειτουργία Ε.Υ.Ζ.Σ., που θα χρησιμεύσει ως οδηγός για την επαναφορά της υποδομής σε στοιχειώδη επίπεδα λειτουργίας μετά από καταστροφή.   Στόχος είναι να αποτελέσουν τα προαναφερόμενα εθνικά πρότυπα κείμενα βάσης για τους διαχειριστές υποδομών.    </w:t>
      </w:r>
    </w:p>
    <w:p w14:paraId="3EEF0BF9"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4D441149" w14:textId="5B142C0A"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Πακέτο Εργασίας 3: Συντονιστικό Κέντρο προστασίας Ε.Υ.Ζ.Σ. Ε3.1 Δημιουργία Συντονιστικού Κέντρου προστασίας Ε.Υ.Ζ.Σ., με την προμήθεια </w:t>
      </w:r>
      <w:proofErr w:type="spellStart"/>
      <w:r w:rsidRPr="006C6F66">
        <w:rPr>
          <w:rFonts w:ascii="Palatino Linotype" w:hAnsi="Palatino Linotype"/>
          <w:b/>
          <w:color w:val="0070C0"/>
          <w:sz w:val="22"/>
          <w:szCs w:val="22"/>
          <w:lang w:val="el-GR"/>
        </w:rPr>
        <w:t>servers</w:t>
      </w:r>
      <w:proofErr w:type="spellEnd"/>
      <w:r w:rsidRPr="006C6F66">
        <w:rPr>
          <w:rFonts w:ascii="Palatino Linotype" w:hAnsi="Palatino Linotype"/>
          <w:b/>
          <w:color w:val="0070C0"/>
          <w:sz w:val="22"/>
          <w:szCs w:val="22"/>
          <w:lang w:val="el-GR"/>
        </w:rPr>
        <w:t xml:space="preserve"> και κατάλληλου λογισμικού (χαρτογράφησης – GIS) για την εκτίμηση και αποτύπωση κινδύνων και απειλών σε εγκαταστάσεις του ΚΕ.ΜΕ.Α..  Ε3.2 Τρισδιάστατοι Χάρτες επικινδυνότητας Ε.Υ.Ζ.Σ. με 3D χαρτογραφικό υπόβαθρο πολύ υψηλής ανάλυσης στους οποίους αποτυπώνονται επεξεργασμένα δεδομένα από διαφορετικά μέσα όπως για παράδειγμα μη-επανδρωμένα μέσα, </w:t>
      </w:r>
      <w:proofErr w:type="spellStart"/>
      <w:r w:rsidRPr="006C6F66">
        <w:rPr>
          <w:rFonts w:ascii="Palatino Linotype" w:hAnsi="Palatino Linotype"/>
          <w:b/>
          <w:color w:val="0070C0"/>
          <w:sz w:val="22"/>
          <w:szCs w:val="22"/>
          <w:lang w:val="el-GR"/>
        </w:rPr>
        <w:t>lidars</w:t>
      </w:r>
      <w:proofErr w:type="spellEnd"/>
      <w:r w:rsidRPr="006C6F66">
        <w:rPr>
          <w:rFonts w:ascii="Palatino Linotype" w:hAnsi="Palatino Linotype"/>
          <w:b/>
          <w:color w:val="0070C0"/>
          <w:sz w:val="22"/>
          <w:szCs w:val="22"/>
          <w:lang w:val="el-GR"/>
        </w:rPr>
        <w:t xml:space="preserve"> και δορυφόροι.  Ε3.3 Εθνική πλατφόρμα Ε.Υ.Ζ.Σ. για την ανταλλαγή βέλτιστων πρακτικών και αναφορά περιστατικών. Η πλατφόρμα θα είναι πλήρως διασυνδεδεμένη με Ευρωπαϊκά πρότυπα (CIWIN &amp; ERNCIP) και θα περιέχει πληροφοριακό υλικό για τους</w:t>
      </w:r>
      <w:r w:rsidRPr="00771D43">
        <w:rPr>
          <w:rFonts w:ascii="Palatino Linotype" w:hAnsi="Palatino Linotype"/>
          <w:b/>
          <w:color w:val="0070C0"/>
          <w:sz w:val="22"/>
          <w:szCs w:val="22"/>
          <w:lang w:val="el-GR"/>
        </w:rPr>
        <w:t xml:space="preserve"> </w:t>
      </w:r>
      <w:r w:rsidRPr="006C6F66">
        <w:rPr>
          <w:rFonts w:ascii="Palatino Linotype" w:hAnsi="Palatino Linotype"/>
          <w:b/>
          <w:color w:val="0070C0"/>
          <w:sz w:val="22"/>
          <w:szCs w:val="22"/>
          <w:lang w:val="el-GR"/>
        </w:rPr>
        <w:t xml:space="preserve">λειτουργούς και διαχειριστές ασφάλειας των υποδομών, </w:t>
      </w:r>
      <w:r w:rsidRPr="006C6F66">
        <w:rPr>
          <w:rFonts w:ascii="Palatino Linotype" w:hAnsi="Palatino Linotype"/>
          <w:b/>
          <w:color w:val="0070C0"/>
          <w:sz w:val="22"/>
          <w:szCs w:val="22"/>
          <w:lang w:val="el-GR"/>
        </w:rPr>
        <w:lastRenderedPageBreak/>
        <w:t xml:space="preserve">πλατφόρμα ανταλλαγής συμβάντων, εκτίμηση επικινδυνότητας διασυνδεδεμένων υποδομών.  </w:t>
      </w:r>
    </w:p>
    <w:p w14:paraId="47580944"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17685730"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Πακέτο Εργασίας 4: Δικτύωση φορέων και διάχυση δράσεων Ε4.1  Συνέδρια – ημερίδες της Ε.Ε. με σκοπό την ανταλλαγή βέλτιστων πρακτικών σε εθνικό και ευρωπαϊκό επίπεδο με αντίστοιχους φορείς,   Ε4.2 Επισκέψεις σε υποδομές και συναντήσεις για την ανταλλαγή γνώσεων και εμπειριών με τους λειτουργούς, ώστε αυτές να επεξεργασθούν και να αποτελέσουν βέλτιστες πρακτικές σε εθνικό επίπεδο. Ε4.2 Διοργάνωση ετήσιου συνεδρίου για τις Ε.Υ.Ζ.Σ. και εξειδικευμένων θεματικών ημερίδων με τη συμμετοχή των εμπλεκομένων φορέων. Ε4.3 Ιστοσελίδα δράσης, η οποία θα φιλοξενείται από τους </w:t>
      </w:r>
      <w:proofErr w:type="spellStart"/>
      <w:r w:rsidRPr="006C6F66">
        <w:rPr>
          <w:rFonts w:ascii="Palatino Linotype" w:hAnsi="Palatino Linotype"/>
          <w:b/>
          <w:color w:val="0070C0"/>
          <w:sz w:val="22"/>
          <w:szCs w:val="22"/>
          <w:lang w:val="el-GR"/>
        </w:rPr>
        <w:t>servers</w:t>
      </w:r>
      <w:proofErr w:type="spellEnd"/>
      <w:r w:rsidRPr="006C6F66">
        <w:rPr>
          <w:rFonts w:ascii="Palatino Linotype" w:hAnsi="Palatino Linotype"/>
          <w:b/>
          <w:color w:val="0070C0"/>
          <w:sz w:val="22"/>
          <w:szCs w:val="22"/>
          <w:lang w:val="el-GR"/>
        </w:rPr>
        <w:t xml:space="preserve"> του ΚΕ.ΜΕ.Α. και θα αποτελεί ένα σημαντικό εργαλείο διάχυσης της δράσης.  </w:t>
      </w:r>
    </w:p>
    <w:p w14:paraId="18E58BFB"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3937D0DC"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Πακέτο Εργασίας 5: Ασκήσεις ετοιμότητας Ε5.1 Διοργάνωση ασκήσεων ετοιμότητας για διαφορετικούς τύπους Ε.Υ.Ζ.Σ., οι οποίες θα περιλαμβάνουν κατ’ ελάχιστο ασκήσεις επί </w:t>
      </w:r>
      <w:proofErr w:type="spellStart"/>
      <w:r w:rsidRPr="006C6F66">
        <w:rPr>
          <w:rFonts w:ascii="Palatino Linotype" w:hAnsi="Palatino Linotype"/>
          <w:b/>
          <w:color w:val="0070C0"/>
          <w:sz w:val="22"/>
          <w:szCs w:val="22"/>
          <w:lang w:val="el-GR"/>
        </w:rPr>
        <w:t>χάρτου</w:t>
      </w:r>
      <w:proofErr w:type="spellEnd"/>
      <w:r w:rsidRPr="006C6F66">
        <w:rPr>
          <w:rFonts w:ascii="Palatino Linotype" w:hAnsi="Palatino Linotype"/>
          <w:b/>
          <w:color w:val="0070C0"/>
          <w:sz w:val="22"/>
          <w:szCs w:val="22"/>
          <w:lang w:val="el-GR"/>
        </w:rPr>
        <w:t xml:space="preserve"> διαφορετικών σεναρίων. Οι ασκήσεις θα πραγματοποιούνται σε ετήσια βάση καθόσον χρειάζονται λεπτομερειακή προετοιμασία και την εμπλοκή πολλών και διαφορετικών φορέων. </w:t>
      </w:r>
    </w:p>
    <w:p w14:paraId="2D545600"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0C93397E" w14:textId="73AB1B6E" w:rsid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4F596DF9" w14:textId="01FA2047" w:rsidR="00BF5948" w:rsidRDefault="00BF5948"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73B4E642" w14:textId="7DF26118" w:rsidR="0000061C" w:rsidRDefault="0000061C"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5683D4DF" w14:textId="1A8A524B" w:rsidR="0000061C" w:rsidRDefault="0000061C"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4783D492" w14:textId="277ED043" w:rsidR="0000061C" w:rsidRDefault="0000061C"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47087168" w14:textId="60D8DC3F" w:rsidR="0000061C" w:rsidRDefault="0000061C"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6CD7FFCA" w14:textId="620BA74C" w:rsidR="00AC19D0" w:rsidRPr="00676DD2" w:rsidRDefault="00AC19D0" w:rsidP="006C6F66">
      <w:pPr>
        <w:jc w:val="both"/>
        <w:rPr>
          <w:rFonts w:ascii="Palatino Linotype" w:hAnsi="Palatino Linotype" w:cs="Times New Roman"/>
          <w:b/>
          <w:i/>
          <w:sz w:val="20"/>
          <w:szCs w:val="20"/>
          <w:lang w:val="el-GR"/>
        </w:rPr>
      </w:pPr>
    </w:p>
    <w:sectPr w:rsidR="00AC19D0" w:rsidRPr="00676DD2" w:rsidSect="00B90E4D">
      <w:headerReference w:type="default" r:id="rId8"/>
      <w:footerReference w:type="default" r:id="rId9"/>
      <w:pgSz w:w="11900" w:h="16840"/>
      <w:pgMar w:top="1440" w:right="985"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3341C" w14:textId="77777777" w:rsidR="0006565C" w:rsidRDefault="0006565C" w:rsidP="002B2AF6">
      <w:r>
        <w:separator/>
      </w:r>
    </w:p>
  </w:endnote>
  <w:endnote w:type="continuationSeparator" w:id="0">
    <w:p w14:paraId="3A99F43F" w14:textId="77777777" w:rsidR="0006565C" w:rsidRDefault="0006565C" w:rsidP="002B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A1"/>
    <w:family w:val="roman"/>
    <w:pitch w:val="variable"/>
    <w:sig w:usb0="E0002EFF" w:usb1="C0007843" w:usb2="00000009" w:usb3="00000000" w:csb0="000001FF" w:csb1="00000000"/>
  </w:font>
  <w:font w:name="Lucida Grande">
    <w:altName w:val="Tahoma"/>
    <w:charset w:val="00"/>
    <w:family w:val="auto"/>
    <w:pitch w:val="variable"/>
    <w:sig w:usb0="E1000AEF" w:usb1="5000A1FF" w:usb2="00000000" w:usb3="00000000" w:csb0="000001BF" w:csb1="00000000"/>
  </w:font>
  <w:font w:name="Calibri">
    <w:panose1 w:val="020F0502020204030204"/>
    <w:charset w:val="A1"/>
    <w:family w:val="swiss"/>
    <w:pitch w:val="variable"/>
    <w:sig w:usb0="E0002A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AC645" w14:textId="77777777" w:rsidR="0006565C" w:rsidRPr="002029A9" w:rsidRDefault="0006565C" w:rsidP="005473DD">
    <w:pPr>
      <w:pStyle w:val="a8"/>
      <w:jc w:val="center"/>
      <w:rPr>
        <w:rFonts w:ascii="Book Antiqua" w:hAnsi="Book Antiqua"/>
      </w:rPr>
    </w:pPr>
  </w:p>
  <w:tbl>
    <w:tblPr>
      <w:tblStyle w:val="1"/>
      <w:tblW w:w="5156" w:type="dxa"/>
      <w:jc w:val="center"/>
      <w:tblLook w:val="04A0" w:firstRow="1" w:lastRow="0" w:firstColumn="1" w:lastColumn="0" w:noHBand="0" w:noVBand="1"/>
    </w:tblPr>
    <w:tblGrid>
      <w:gridCol w:w="1715"/>
      <w:gridCol w:w="1577"/>
      <w:gridCol w:w="1864"/>
    </w:tblGrid>
    <w:tr w:rsidR="0006565C" w:rsidRPr="00903242" w14:paraId="4C26E7A5" w14:textId="77777777" w:rsidTr="00950657">
      <w:trPr>
        <w:trHeight w:val="465"/>
        <w:jc w:val="center"/>
      </w:trPr>
      <w:tc>
        <w:tcPr>
          <w:tcW w:w="1715" w:type="dxa"/>
        </w:tcPr>
        <w:p w14:paraId="044532C4" w14:textId="08D4ADD1" w:rsidR="0006565C" w:rsidRPr="00903242" w:rsidRDefault="0006565C" w:rsidP="00950657">
          <w:pPr>
            <w:tabs>
              <w:tab w:val="center" w:pos="4153"/>
              <w:tab w:val="right" w:pos="8306"/>
            </w:tabs>
            <w:jc w:val="center"/>
            <w:rPr>
              <w:sz w:val="10"/>
              <w:szCs w:val="10"/>
            </w:rPr>
          </w:pPr>
          <w:r>
            <w:rPr>
              <w:noProof/>
              <w:sz w:val="10"/>
              <w:szCs w:val="10"/>
              <w:lang w:eastAsia="el-GR"/>
            </w:rPr>
            <w:drawing>
              <wp:inline distT="0" distB="0" distL="0" distR="0" wp14:anchorId="621CE5BE" wp14:editId="72E23CC0">
                <wp:extent cx="551815" cy="348615"/>
                <wp:effectExtent l="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rotWithShape="1">
                        <a:blip r:embed="rId1">
                          <a:extLst>
                            <a:ext uri="{28A0092B-C50C-407E-A947-70E740481C1C}">
                              <a14:useLocalDpi xmlns:a14="http://schemas.microsoft.com/office/drawing/2010/main" val="0"/>
                            </a:ext>
                          </a:extLst>
                        </a:blip>
                        <a:srcRect l="10780" t="1" b="-26"/>
                        <a:stretch/>
                      </pic:blipFill>
                      <pic:spPr bwMode="auto">
                        <a:xfrm>
                          <a:off x="0" y="0"/>
                          <a:ext cx="569536" cy="359810"/>
                        </a:xfrm>
                        <a:prstGeom prst="rect">
                          <a:avLst/>
                        </a:prstGeom>
                        <a:ln>
                          <a:noFill/>
                        </a:ln>
                        <a:extLst>
                          <a:ext uri="{53640926-AAD7-44D8-BBD7-CCE9431645EC}">
                            <a14:shadowObscured xmlns:a14="http://schemas.microsoft.com/office/drawing/2010/main"/>
                          </a:ext>
                        </a:extLst>
                      </pic:spPr>
                    </pic:pic>
                  </a:graphicData>
                </a:graphic>
              </wp:inline>
            </w:drawing>
          </w:r>
        </w:p>
      </w:tc>
      <w:tc>
        <w:tcPr>
          <w:tcW w:w="1577" w:type="dxa"/>
          <w:vAlign w:val="center"/>
        </w:tcPr>
        <w:p w14:paraId="6DB939AE" w14:textId="77777777" w:rsidR="0006565C" w:rsidRPr="00903242" w:rsidRDefault="0006565C" w:rsidP="005473DD">
          <w:pPr>
            <w:tabs>
              <w:tab w:val="center" w:pos="4153"/>
              <w:tab w:val="right" w:pos="8306"/>
            </w:tabs>
            <w:jc w:val="center"/>
            <w:rPr>
              <w:sz w:val="8"/>
              <w:szCs w:val="8"/>
            </w:rPr>
          </w:pPr>
          <w:r w:rsidRPr="00903242">
            <w:rPr>
              <w:sz w:val="8"/>
              <w:szCs w:val="8"/>
            </w:rPr>
            <w:t>ΕΥΡΩΠΑΪΚΟ ΤΑΜΕΙΟ ΕΣΩΤΕΡΙΚΗΣ ΑΣΦΑΛΕΙΑΣ –</w:t>
          </w:r>
        </w:p>
        <w:p w14:paraId="75E6B60E" w14:textId="77777777" w:rsidR="0006565C" w:rsidRPr="00903242" w:rsidRDefault="0006565C" w:rsidP="005473DD">
          <w:pPr>
            <w:tabs>
              <w:tab w:val="center" w:pos="4153"/>
              <w:tab w:val="right" w:pos="8306"/>
            </w:tabs>
            <w:jc w:val="center"/>
            <w:rPr>
              <w:sz w:val="8"/>
              <w:szCs w:val="8"/>
            </w:rPr>
          </w:pPr>
          <w:r w:rsidRPr="00903242">
            <w:rPr>
              <w:sz w:val="8"/>
              <w:szCs w:val="8"/>
            </w:rPr>
            <w:t>ΤΟΜΕΑΣ ΑΣΤΥΝΟΜΙΚΗΣ ΣΥΝΕΡΓΑΣΙΑΣ</w:t>
          </w:r>
        </w:p>
        <w:p w14:paraId="2EE31C04" w14:textId="77777777" w:rsidR="0006565C" w:rsidRPr="00903242" w:rsidRDefault="0006565C" w:rsidP="005473DD">
          <w:pPr>
            <w:tabs>
              <w:tab w:val="center" w:pos="4153"/>
              <w:tab w:val="right" w:pos="8306"/>
            </w:tabs>
            <w:jc w:val="center"/>
            <w:rPr>
              <w:sz w:val="8"/>
              <w:szCs w:val="8"/>
            </w:rPr>
          </w:pPr>
          <w:r w:rsidRPr="00903242">
            <w:rPr>
              <w:sz w:val="8"/>
              <w:szCs w:val="8"/>
            </w:rPr>
            <w:t>(2014-2020)</w:t>
          </w:r>
        </w:p>
      </w:tc>
      <w:tc>
        <w:tcPr>
          <w:tcW w:w="1864" w:type="dxa"/>
        </w:tcPr>
        <w:p w14:paraId="59B692B4" w14:textId="77777777" w:rsidR="0006565C" w:rsidRPr="00903242" w:rsidRDefault="0006565C" w:rsidP="00950657">
          <w:pPr>
            <w:tabs>
              <w:tab w:val="center" w:pos="4153"/>
              <w:tab w:val="right" w:pos="8306"/>
            </w:tabs>
            <w:jc w:val="center"/>
            <w:rPr>
              <w:sz w:val="10"/>
              <w:szCs w:val="10"/>
            </w:rPr>
          </w:pPr>
          <w:r w:rsidRPr="00903242">
            <w:rPr>
              <w:noProof/>
              <w:sz w:val="10"/>
              <w:szCs w:val="10"/>
              <w:lang w:eastAsia="el-GR"/>
            </w:rPr>
            <w:drawing>
              <wp:inline distT="0" distB="0" distL="0" distR="0" wp14:anchorId="66197480" wp14:editId="5EEDB8FD">
                <wp:extent cx="559642" cy="349731"/>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609349" cy="380794"/>
                        </a:xfrm>
                        <a:prstGeom prst="rect">
                          <a:avLst/>
                        </a:prstGeom>
                      </pic:spPr>
                    </pic:pic>
                  </a:graphicData>
                </a:graphic>
              </wp:inline>
            </w:drawing>
          </w:r>
        </w:p>
      </w:tc>
    </w:tr>
  </w:tbl>
  <w:p w14:paraId="0B918022" w14:textId="62BC0248" w:rsidR="0006565C" w:rsidRPr="00F66932" w:rsidRDefault="0006565C" w:rsidP="005473DD">
    <w:pPr>
      <w:tabs>
        <w:tab w:val="center" w:pos="4153"/>
        <w:tab w:val="right" w:pos="8306"/>
      </w:tabs>
      <w:rPr>
        <w:rFonts w:ascii="Times New Roman" w:eastAsia="Times New Roman" w:hAnsi="Times New Roman"/>
        <w:sz w:val="20"/>
        <w:szCs w:val="20"/>
        <w:lang w:val="el-GR"/>
      </w:rPr>
    </w:pPr>
    <w:r>
      <w:rPr>
        <w:rFonts w:ascii="Times New Roman" w:eastAsia="Times New Roman" w:hAnsi="Times New Roman"/>
        <w:sz w:val="20"/>
        <w:szCs w:val="20"/>
        <w:lang w:val="el-GR"/>
      </w:rPr>
      <w:t xml:space="preserve"> </w:t>
    </w:r>
    <w:r w:rsidRPr="00903242">
      <w:rPr>
        <w:rFonts w:ascii="Times New Roman" w:eastAsia="Times New Roman" w:hAnsi="Times New Roman"/>
        <w:sz w:val="20"/>
        <w:szCs w:val="20"/>
      </w:rPr>
      <w:ptab w:relativeTo="margin" w:alignment="center" w:leader="none"/>
    </w:r>
    <w:r w:rsidRPr="00903242">
      <w:rPr>
        <w:rFonts w:ascii="Times New Roman" w:eastAsia="Times New Roman" w:hAnsi="Times New Roman"/>
        <w:sz w:val="20"/>
        <w:szCs w:val="20"/>
      </w:rPr>
      <w:ptab w:relativeTo="margin" w:alignment="right" w:leader="none"/>
    </w:r>
  </w:p>
  <w:p w14:paraId="15D631F1" w14:textId="69200F1C" w:rsidR="0006565C" w:rsidRPr="00B90E4D" w:rsidRDefault="0006565C" w:rsidP="001E13EE">
    <w:pPr>
      <w:tabs>
        <w:tab w:val="center" w:pos="4153"/>
        <w:tab w:val="right" w:pos="8306"/>
      </w:tabs>
      <w:jc w:val="center"/>
      <w:rPr>
        <w:rFonts w:eastAsiaTheme="minorHAnsi"/>
        <w:b/>
        <w:bCs/>
        <w:sz w:val="14"/>
        <w:szCs w:val="14"/>
        <w:lang w:val="el-GR"/>
      </w:rPr>
    </w:pPr>
    <w:r w:rsidRPr="00B90E4D">
      <w:rPr>
        <w:rFonts w:eastAsiaTheme="minorHAnsi"/>
        <w:b/>
        <w:bCs/>
        <w:sz w:val="14"/>
        <w:szCs w:val="14"/>
        <w:lang w:val="el-GR"/>
      </w:rPr>
      <w:t xml:space="preserve">Δράση συγχρηματοδοτούμενη σε ποσοστό 75% από κοινοτικούς πόρους και 25% από εθνικούς πόρους που θα βαρύνει τις πιστώσεις του </w:t>
    </w:r>
    <w:proofErr w:type="spellStart"/>
    <w:r w:rsidRPr="00B90E4D">
      <w:rPr>
        <w:rFonts w:eastAsiaTheme="minorHAnsi"/>
        <w:b/>
        <w:bCs/>
        <w:sz w:val="14"/>
        <w:szCs w:val="14"/>
        <w:lang w:val="el-GR"/>
      </w:rPr>
      <w:t>υπ</w:t>
    </w:r>
    <w:proofErr w:type="spellEnd"/>
    <w:r w:rsidRPr="00B90E4D">
      <w:rPr>
        <w:rFonts w:eastAsiaTheme="minorHAnsi"/>
        <w:b/>
        <w:bCs/>
        <w:sz w:val="14"/>
        <w:szCs w:val="14"/>
        <w:lang w:val="el-GR"/>
      </w:rPr>
      <w:t xml:space="preserve">΄ </w:t>
    </w:r>
    <w:proofErr w:type="spellStart"/>
    <w:r w:rsidRPr="00B90E4D">
      <w:rPr>
        <w:rFonts w:eastAsiaTheme="minorHAnsi"/>
        <w:b/>
        <w:bCs/>
        <w:sz w:val="14"/>
        <w:szCs w:val="14"/>
        <w:lang w:val="el-GR"/>
      </w:rPr>
      <w:t>αριθμ</w:t>
    </w:r>
    <w:proofErr w:type="spellEnd"/>
    <w:r w:rsidRPr="00B90E4D">
      <w:rPr>
        <w:rFonts w:eastAsiaTheme="minorHAnsi"/>
        <w:b/>
        <w:bCs/>
        <w:sz w:val="14"/>
        <w:szCs w:val="14"/>
        <w:lang w:val="el-GR"/>
      </w:rPr>
      <w:t>. 2016ΣΕ05020013 Έργου της ΣΑΕ 050/2 με τίτλο: «</w:t>
    </w:r>
    <w:proofErr w:type="spellStart"/>
    <w:r w:rsidRPr="00B90E4D">
      <w:rPr>
        <w:rFonts w:eastAsiaTheme="minorHAnsi"/>
        <w:b/>
        <w:bCs/>
        <w:sz w:val="14"/>
        <w:szCs w:val="14"/>
        <w:lang w:val="el-GR"/>
      </w:rPr>
      <w:t>Στοχευμένες</w:t>
    </w:r>
    <w:proofErr w:type="spellEnd"/>
    <w:r w:rsidRPr="00B90E4D">
      <w:rPr>
        <w:rFonts w:eastAsiaTheme="minorHAnsi"/>
        <w:b/>
        <w:bCs/>
        <w:sz w:val="14"/>
        <w:szCs w:val="14"/>
        <w:lang w:val="el-GR"/>
      </w:rPr>
      <w:t xml:space="preserve"> Δράσεις για την Αύξηση της Προστασίας των Εθνικά Χαρακτηρισμένων Ευρωπαϊ</w:t>
    </w:r>
    <w:r>
      <w:rPr>
        <w:rFonts w:eastAsiaTheme="minorHAnsi"/>
        <w:b/>
        <w:bCs/>
        <w:sz w:val="14"/>
        <w:szCs w:val="14"/>
        <w:lang w:val="el-GR"/>
      </w:rPr>
      <w:t>κών Υποδομών Ζωτικής Σημασίας».</w:t>
    </w:r>
  </w:p>
  <w:p w14:paraId="55469928" w14:textId="77777777" w:rsidR="0006565C" w:rsidRPr="00B90E4D" w:rsidRDefault="0006565C" w:rsidP="005473DD">
    <w:pPr>
      <w:tabs>
        <w:tab w:val="center" w:pos="4153"/>
        <w:tab w:val="right" w:pos="8306"/>
      </w:tabs>
      <w:jc w:val="center"/>
      <w:rPr>
        <w:rFonts w:eastAsiaTheme="minorHAnsi"/>
        <w:sz w:val="14"/>
        <w:szCs w:val="14"/>
        <w:lang w:val="el-GR"/>
      </w:rPr>
    </w:pPr>
  </w:p>
  <w:p w14:paraId="106E6CA0" w14:textId="77777777" w:rsidR="0006565C" w:rsidRPr="00B90E4D" w:rsidRDefault="0006565C" w:rsidP="005473DD">
    <w:pPr>
      <w:tabs>
        <w:tab w:val="center" w:pos="4153"/>
        <w:tab w:val="right" w:pos="8306"/>
      </w:tabs>
      <w:ind w:left="-993"/>
      <w:jc w:val="center"/>
      <w:rPr>
        <w:rFonts w:ascii="Palatino Linotype" w:eastAsia="Times New Roman" w:hAnsi="Palatino Linotype"/>
        <w:i/>
        <w:sz w:val="16"/>
        <w:szCs w:val="16"/>
        <w:lang w:val="el-GR"/>
      </w:rPr>
    </w:pPr>
    <w:r w:rsidRPr="00B90E4D">
      <w:rPr>
        <w:rFonts w:ascii="Palatino Linotype" w:eastAsia="Times New Roman" w:hAnsi="Palatino Linotype"/>
        <w:i/>
        <w:sz w:val="16"/>
        <w:szCs w:val="16"/>
        <w:lang w:val="el-GR"/>
      </w:rPr>
      <w:t xml:space="preserve">Π. Κανελλοπούλου 4, Τ.Κ. 101 77, Αθήνα </w:t>
    </w:r>
    <w:proofErr w:type="spellStart"/>
    <w:r w:rsidRPr="00B90E4D">
      <w:rPr>
        <w:rFonts w:ascii="Palatino Linotype" w:eastAsia="Times New Roman" w:hAnsi="Palatino Linotype"/>
        <w:i/>
        <w:sz w:val="16"/>
        <w:szCs w:val="16"/>
        <w:lang w:val="el-GR"/>
      </w:rPr>
      <w:t>τηλ</w:t>
    </w:r>
    <w:proofErr w:type="spellEnd"/>
    <w:r w:rsidRPr="00B90E4D">
      <w:rPr>
        <w:rFonts w:ascii="Palatino Linotype" w:eastAsia="Times New Roman" w:hAnsi="Palatino Linotype"/>
        <w:i/>
        <w:sz w:val="16"/>
        <w:szCs w:val="16"/>
        <w:lang w:val="el-GR"/>
      </w:rPr>
      <w:t xml:space="preserve">.: 210 7481630, 210 7481347 </w:t>
    </w:r>
    <w:r w:rsidRPr="00903242">
      <w:rPr>
        <w:rFonts w:ascii="Palatino Linotype" w:eastAsia="Times New Roman" w:hAnsi="Palatino Linotype"/>
        <w:i/>
        <w:sz w:val="16"/>
        <w:szCs w:val="16"/>
      </w:rPr>
      <w:t>Fax</w:t>
    </w:r>
    <w:r w:rsidRPr="00B90E4D">
      <w:rPr>
        <w:rFonts w:ascii="Palatino Linotype" w:eastAsia="Times New Roman" w:hAnsi="Palatino Linotype"/>
        <w:i/>
        <w:sz w:val="16"/>
        <w:szCs w:val="16"/>
        <w:lang w:val="el-GR"/>
      </w:rPr>
      <w:t xml:space="preserve">: 210 7481995, </w:t>
    </w:r>
    <w:r w:rsidRPr="00903242">
      <w:rPr>
        <w:rFonts w:ascii="Palatino Linotype" w:eastAsia="Times New Roman" w:hAnsi="Palatino Linotype"/>
        <w:i/>
        <w:sz w:val="16"/>
        <w:szCs w:val="16"/>
      </w:rPr>
      <w:t>www</w:t>
    </w:r>
    <w:r w:rsidRPr="00B90E4D">
      <w:rPr>
        <w:rFonts w:ascii="Palatino Linotype" w:eastAsia="Times New Roman" w:hAnsi="Palatino Linotype"/>
        <w:i/>
        <w:sz w:val="16"/>
        <w:szCs w:val="16"/>
        <w:lang w:val="el-GR"/>
      </w:rPr>
      <w:t>.</w:t>
    </w:r>
    <w:proofErr w:type="spellStart"/>
    <w:r w:rsidRPr="00903242">
      <w:rPr>
        <w:rFonts w:ascii="Palatino Linotype" w:eastAsia="Times New Roman" w:hAnsi="Palatino Linotype"/>
        <w:i/>
        <w:sz w:val="16"/>
        <w:szCs w:val="16"/>
      </w:rPr>
      <w:t>kemea</w:t>
    </w:r>
    <w:proofErr w:type="spellEnd"/>
    <w:r w:rsidRPr="00B90E4D">
      <w:rPr>
        <w:rFonts w:ascii="Palatino Linotype" w:eastAsia="Times New Roman" w:hAnsi="Palatino Linotype"/>
        <w:i/>
        <w:sz w:val="16"/>
        <w:szCs w:val="16"/>
        <w:lang w:val="el-GR"/>
      </w:rPr>
      <w:t>.</w:t>
    </w:r>
    <w:r w:rsidRPr="00903242">
      <w:rPr>
        <w:rFonts w:ascii="Palatino Linotype" w:eastAsia="Times New Roman" w:hAnsi="Palatino Linotype"/>
        <w:i/>
        <w:sz w:val="16"/>
        <w:szCs w:val="16"/>
      </w:rPr>
      <w:t>gr</w:t>
    </w:r>
    <w:r w:rsidRPr="00B90E4D">
      <w:rPr>
        <w:rFonts w:ascii="Palatino Linotype" w:eastAsia="Times New Roman" w:hAnsi="Palatino Linotype"/>
        <w:i/>
        <w:sz w:val="16"/>
        <w:szCs w:val="16"/>
        <w:lang w:val="el-GR"/>
      </w:rPr>
      <w:t xml:space="preserve"> </w:t>
    </w:r>
    <w:r w:rsidRPr="00B90E4D">
      <w:rPr>
        <w:rFonts w:ascii="Palatino Linotype" w:eastAsia="Times New Roman" w:hAnsi="Palatino Linotype" w:cs="Calibri"/>
        <w:i/>
        <w:color w:val="C05700"/>
        <w:sz w:val="16"/>
        <w:szCs w:val="16"/>
        <w:lang w:val="el-GR"/>
      </w:rPr>
      <w:t>•</w:t>
    </w:r>
    <w:r w:rsidRPr="00B90E4D">
      <w:rPr>
        <w:rFonts w:ascii="Palatino Linotype" w:eastAsia="Times New Roman" w:hAnsi="Palatino Linotype"/>
        <w:i/>
        <w:sz w:val="16"/>
        <w:szCs w:val="16"/>
        <w:lang w:val="el-GR"/>
      </w:rPr>
      <w:t xml:space="preserve"> </w:t>
    </w:r>
    <w:r w:rsidRPr="00903242">
      <w:rPr>
        <w:rFonts w:ascii="Palatino Linotype" w:eastAsia="Times New Roman" w:hAnsi="Palatino Linotype"/>
        <w:i/>
        <w:sz w:val="16"/>
        <w:szCs w:val="16"/>
      </w:rPr>
      <w:t>e</w:t>
    </w:r>
    <w:r w:rsidRPr="00B90E4D">
      <w:rPr>
        <w:rFonts w:ascii="Palatino Linotype" w:eastAsia="Times New Roman" w:hAnsi="Palatino Linotype"/>
        <w:i/>
        <w:sz w:val="16"/>
        <w:szCs w:val="16"/>
        <w:lang w:val="el-GR"/>
      </w:rPr>
      <w:t>-</w:t>
    </w:r>
    <w:r w:rsidRPr="00903242">
      <w:rPr>
        <w:rFonts w:ascii="Palatino Linotype" w:eastAsia="Times New Roman" w:hAnsi="Palatino Linotype"/>
        <w:i/>
        <w:sz w:val="16"/>
        <w:szCs w:val="16"/>
      </w:rPr>
      <w:t>mail</w:t>
    </w:r>
    <w:r w:rsidRPr="00B90E4D">
      <w:rPr>
        <w:rFonts w:ascii="Palatino Linotype" w:eastAsia="Times New Roman" w:hAnsi="Palatino Linotype"/>
        <w:i/>
        <w:sz w:val="16"/>
        <w:szCs w:val="16"/>
        <w:lang w:val="el-GR"/>
      </w:rPr>
      <w:t xml:space="preserve">: </w:t>
    </w:r>
    <w:proofErr w:type="spellStart"/>
    <w:r w:rsidRPr="00903242">
      <w:rPr>
        <w:rFonts w:ascii="Palatino Linotype" w:eastAsia="Times New Roman" w:hAnsi="Palatino Linotype"/>
        <w:i/>
        <w:sz w:val="16"/>
        <w:szCs w:val="16"/>
      </w:rPr>
      <w:t>kemea</w:t>
    </w:r>
    <w:proofErr w:type="spellEnd"/>
    <w:r w:rsidRPr="00B90E4D">
      <w:rPr>
        <w:rFonts w:ascii="Palatino Linotype" w:eastAsia="Times New Roman" w:hAnsi="Palatino Linotype"/>
        <w:i/>
        <w:sz w:val="16"/>
        <w:szCs w:val="16"/>
        <w:lang w:val="el-GR"/>
      </w:rPr>
      <w:t>@</w:t>
    </w:r>
    <w:proofErr w:type="spellStart"/>
    <w:r w:rsidRPr="00903242">
      <w:rPr>
        <w:rFonts w:ascii="Palatino Linotype" w:eastAsia="Times New Roman" w:hAnsi="Palatino Linotype"/>
        <w:i/>
        <w:sz w:val="16"/>
        <w:szCs w:val="16"/>
      </w:rPr>
      <w:t>kemea</w:t>
    </w:r>
    <w:proofErr w:type="spellEnd"/>
    <w:r w:rsidRPr="00B90E4D">
      <w:rPr>
        <w:rFonts w:ascii="Palatino Linotype" w:eastAsia="Times New Roman" w:hAnsi="Palatino Linotype"/>
        <w:i/>
        <w:sz w:val="16"/>
        <w:szCs w:val="16"/>
        <w:lang w:val="el-GR"/>
      </w:rPr>
      <w:t>.</w:t>
    </w:r>
    <w:r w:rsidRPr="00903242">
      <w:rPr>
        <w:rFonts w:ascii="Palatino Linotype" w:eastAsia="Times New Roman" w:hAnsi="Palatino Linotype"/>
        <w:i/>
        <w:sz w:val="16"/>
        <w:szCs w:val="16"/>
      </w:rPr>
      <w:t>gr</w:t>
    </w:r>
  </w:p>
  <w:p w14:paraId="5D1F95A0" w14:textId="77777777" w:rsidR="0006565C" w:rsidRPr="00B90E4D" w:rsidRDefault="0006565C">
    <w:pPr>
      <w:pStyle w:val="a8"/>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CDC26" w14:textId="77777777" w:rsidR="0006565C" w:rsidRDefault="0006565C" w:rsidP="002B2AF6">
      <w:r>
        <w:separator/>
      </w:r>
    </w:p>
  </w:footnote>
  <w:footnote w:type="continuationSeparator" w:id="0">
    <w:p w14:paraId="00E21EAC" w14:textId="77777777" w:rsidR="0006565C" w:rsidRDefault="0006565C" w:rsidP="002B2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7569F" w14:textId="77777777" w:rsidR="0006565C" w:rsidRDefault="0006565C" w:rsidP="005473DD">
    <w:pPr>
      <w:pStyle w:val="a7"/>
      <w:tabs>
        <w:tab w:val="clear" w:pos="4153"/>
        <w:tab w:val="clear" w:pos="8306"/>
      </w:tabs>
      <w:rPr>
        <w:noProof/>
        <w:lang w:eastAsia="el-GR"/>
      </w:rPr>
    </w:pPr>
    <w:r>
      <w:rPr>
        <w:noProof/>
        <w:lang w:val="el-GR" w:eastAsia="el-GR"/>
      </w:rPr>
      <w:drawing>
        <wp:anchor distT="0" distB="0" distL="114300" distR="114300" simplePos="0" relativeHeight="251659264" behindDoc="1" locked="0" layoutInCell="1" allowOverlap="1" wp14:anchorId="78CD267C" wp14:editId="714A4D4B">
          <wp:simplePos x="0" y="0"/>
          <wp:positionH relativeFrom="column">
            <wp:posOffset>-723900</wp:posOffset>
          </wp:positionH>
          <wp:positionV relativeFrom="paragraph">
            <wp:posOffset>-300990</wp:posOffset>
          </wp:positionV>
          <wp:extent cx="1454785" cy="822325"/>
          <wp:effectExtent l="19050" t="0" r="0" b="0"/>
          <wp:wrapThrough wrapText="bothSides">
            <wp:wrapPolygon edited="0">
              <wp:start x="-283" y="0"/>
              <wp:lineTo x="-283" y="21016"/>
              <wp:lineTo x="21496" y="21016"/>
              <wp:lineTo x="21496" y="0"/>
              <wp:lineTo x="-283"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l="13335" t="17143" r="12726" b="23714"/>
                  <a:stretch>
                    <a:fillRect/>
                  </a:stretch>
                </pic:blipFill>
                <pic:spPr bwMode="auto">
                  <a:xfrm>
                    <a:off x="0" y="0"/>
                    <a:ext cx="1454785" cy="822325"/>
                  </a:xfrm>
                  <a:prstGeom prst="rect">
                    <a:avLst/>
                  </a:prstGeom>
                  <a:noFill/>
                  <a:ln w="9525">
                    <a:noFill/>
                    <a:miter lim="800000"/>
                    <a:headEnd/>
                    <a:tailEnd/>
                  </a:ln>
                </pic:spPr>
              </pic:pic>
            </a:graphicData>
          </a:graphic>
        </wp:anchor>
      </w:drawing>
    </w:r>
  </w:p>
  <w:tbl>
    <w:tblPr>
      <w:tblW w:w="8527" w:type="dxa"/>
      <w:tblLook w:val="04A0" w:firstRow="1" w:lastRow="0" w:firstColumn="1" w:lastColumn="0" w:noHBand="0" w:noVBand="1"/>
    </w:tblPr>
    <w:tblGrid>
      <w:gridCol w:w="1384"/>
      <w:gridCol w:w="7143"/>
    </w:tblGrid>
    <w:tr w:rsidR="0006565C" w:rsidRPr="001A16B8" w14:paraId="67E2FD1E" w14:textId="77777777" w:rsidTr="006A6A04">
      <w:trPr>
        <w:trHeight w:val="193"/>
      </w:trPr>
      <w:tc>
        <w:tcPr>
          <w:tcW w:w="1384" w:type="dxa"/>
          <w:vMerge w:val="restart"/>
          <w:tcBorders>
            <w:right w:val="single" w:sz="12" w:space="0" w:color="auto"/>
          </w:tcBorders>
          <w:shd w:val="clear" w:color="auto" w:fill="auto"/>
        </w:tcPr>
        <w:p w14:paraId="02C2EB61" w14:textId="77777777" w:rsidR="0006565C" w:rsidRPr="001A16B8" w:rsidRDefault="0006565C" w:rsidP="005473DD">
          <w:pPr>
            <w:pStyle w:val="a7"/>
            <w:tabs>
              <w:tab w:val="clear" w:pos="4153"/>
              <w:tab w:val="clear" w:pos="8306"/>
            </w:tabs>
          </w:pPr>
        </w:p>
      </w:tc>
      <w:tc>
        <w:tcPr>
          <w:tcW w:w="7143" w:type="dxa"/>
          <w:tcBorders>
            <w:left w:val="single" w:sz="12" w:space="0" w:color="auto"/>
          </w:tcBorders>
          <w:shd w:val="clear" w:color="auto" w:fill="auto"/>
        </w:tcPr>
        <w:p w14:paraId="0ACCA502" w14:textId="77777777" w:rsidR="0006565C" w:rsidRPr="001A16B8" w:rsidRDefault="0006565C" w:rsidP="005473DD">
          <w:pPr>
            <w:pStyle w:val="a7"/>
            <w:tabs>
              <w:tab w:val="clear" w:pos="4153"/>
              <w:tab w:val="clear" w:pos="8306"/>
            </w:tabs>
            <w:rPr>
              <w:sz w:val="20"/>
              <w:szCs w:val="52"/>
            </w:rPr>
          </w:pPr>
          <w:r w:rsidRPr="001A16B8">
            <w:rPr>
              <w:color w:val="0F243E"/>
            </w:rPr>
            <w:t>ΚΕΝΤΡΟ ΜΕΛΕΤΩΝ ΑΣΦΑΛΕΙΑΣ</w:t>
          </w:r>
        </w:p>
      </w:tc>
    </w:tr>
    <w:tr w:rsidR="0006565C" w:rsidRPr="001A16B8" w14:paraId="24F57D1A" w14:textId="77777777" w:rsidTr="006A6A04">
      <w:trPr>
        <w:trHeight w:val="195"/>
      </w:trPr>
      <w:tc>
        <w:tcPr>
          <w:tcW w:w="1384" w:type="dxa"/>
          <w:vMerge/>
          <w:tcBorders>
            <w:right w:val="single" w:sz="12" w:space="0" w:color="auto"/>
          </w:tcBorders>
          <w:shd w:val="clear" w:color="auto" w:fill="auto"/>
        </w:tcPr>
        <w:p w14:paraId="0A154BFF" w14:textId="77777777" w:rsidR="0006565C" w:rsidRPr="001A16B8" w:rsidRDefault="0006565C" w:rsidP="005473DD">
          <w:pPr>
            <w:pStyle w:val="a7"/>
            <w:tabs>
              <w:tab w:val="clear" w:pos="4153"/>
              <w:tab w:val="clear" w:pos="8306"/>
            </w:tabs>
          </w:pPr>
        </w:p>
      </w:tc>
      <w:tc>
        <w:tcPr>
          <w:tcW w:w="7143" w:type="dxa"/>
          <w:tcBorders>
            <w:left w:val="single" w:sz="12" w:space="0" w:color="auto"/>
          </w:tcBorders>
          <w:shd w:val="clear" w:color="auto" w:fill="auto"/>
        </w:tcPr>
        <w:p w14:paraId="6E11339A" w14:textId="77777777" w:rsidR="0006565C" w:rsidRPr="001A16B8" w:rsidRDefault="0006565C" w:rsidP="005473DD">
          <w:pPr>
            <w:pStyle w:val="a7"/>
            <w:tabs>
              <w:tab w:val="clear" w:pos="4153"/>
              <w:tab w:val="clear" w:pos="8306"/>
            </w:tabs>
          </w:pPr>
          <w:r w:rsidRPr="001A16B8">
            <w:rPr>
              <w:color w:val="95B3D7"/>
            </w:rPr>
            <w:t>CENTER FOR SECURITY STUDIES</w:t>
          </w:r>
        </w:p>
      </w:tc>
    </w:tr>
  </w:tbl>
  <w:p w14:paraId="1C442816" w14:textId="77777777" w:rsidR="0006565C" w:rsidRPr="005473DD" w:rsidRDefault="0006565C" w:rsidP="005473D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E33EB"/>
    <w:multiLevelType w:val="hybridMultilevel"/>
    <w:tmpl w:val="030C6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46DA3"/>
    <w:multiLevelType w:val="hybridMultilevel"/>
    <w:tmpl w:val="84C4E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0B3923"/>
    <w:multiLevelType w:val="hybridMultilevel"/>
    <w:tmpl w:val="4306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F7127"/>
    <w:multiLevelType w:val="hybridMultilevel"/>
    <w:tmpl w:val="61A8CAB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37295CE1"/>
    <w:multiLevelType w:val="hybridMultilevel"/>
    <w:tmpl w:val="B74092B2"/>
    <w:lvl w:ilvl="0" w:tplc="44725B1C">
      <w:start w:val="1"/>
      <w:numFmt w:val="bullet"/>
      <w:lvlText w:val="•"/>
      <w:lvlJc w:val="left"/>
      <w:pPr>
        <w:tabs>
          <w:tab w:val="num" w:pos="720"/>
        </w:tabs>
        <w:ind w:left="720" w:hanging="360"/>
      </w:pPr>
      <w:rPr>
        <w:rFonts w:ascii="Times New Roman" w:hAnsi="Times New Roman" w:hint="default"/>
      </w:rPr>
    </w:lvl>
    <w:lvl w:ilvl="1" w:tplc="C0AE6A8A" w:tentative="1">
      <w:start w:val="1"/>
      <w:numFmt w:val="bullet"/>
      <w:lvlText w:val="•"/>
      <w:lvlJc w:val="left"/>
      <w:pPr>
        <w:tabs>
          <w:tab w:val="num" w:pos="1440"/>
        </w:tabs>
        <w:ind w:left="1440" w:hanging="360"/>
      </w:pPr>
      <w:rPr>
        <w:rFonts w:ascii="Times New Roman" w:hAnsi="Times New Roman" w:hint="default"/>
      </w:rPr>
    </w:lvl>
    <w:lvl w:ilvl="2" w:tplc="B0ECFA6E" w:tentative="1">
      <w:start w:val="1"/>
      <w:numFmt w:val="bullet"/>
      <w:lvlText w:val="•"/>
      <w:lvlJc w:val="left"/>
      <w:pPr>
        <w:tabs>
          <w:tab w:val="num" w:pos="2160"/>
        </w:tabs>
        <w:ind w:left="2160" w:hanging="360"/>
      </w:pPr>
      <w:rPr>
        <w:rFonts w:ascii="Times New Roman" w:hAnsi="Times New Roman" w:hint="default"/>
      </w:rPr>
    </w:lvl>
    <w:lvl w:ilvl="3" w:tplc="DE90D772" w:tentative="1">
      <w:start w:val="1"/>
      <w:numFmt w:val="bullet"/>
      <w:lvlText w:val="•"/>
      <w:lvlJc w:val="left"/>
      <w:pPr>
        <w:tabs>
          <w:tab w:val="num" w:pos="2880"/>
        </w:tabs>
        <w:ind w:left="2880" w:hanging="360"/>
      </w:pPr>
      <w:rPr>
        <w:rFonts w:ascii="Times New Roman" w:hAnsi="Times New Roman" w:hint="default"/>
      </w:rPr>
    </w:lvl>
    <w:lvl w:ilvl="4" w:tplc="A8ECD100" w:tentative="1">
      <w:start w:val="1"/>
      <w:numFmt w:val="bullet"/>
      <w:lvlText w:val="•"/>
      <w:lvlJc w:val="left"/>
      <w:pPr>
        <w:tabs>
          <w:tab w:val="num" w:pos="3600"/>
        </w:tabs>
        <w:ind w:left="3600" w:hanging="360"/>
      </w:pPr>
      <w:rPr>
        <w:rFonts w:ascii="Times New Roman" w:hAnsi="Times New Roman" w:hint="default"/>
      </w:rPr>
    </w:lvl>
    <w:lvl w:ilvl="5" w:tplc="6C846542" w:tentative="1">
      <w:start w:val="1"/>
      <w:numFmt w:val="bullet"/>
      <w:lvlText w:val="•"/>
      <w:lvlJc w:val="left"/>
      <w:pPr>
        <w:tabs>
          <w:tab w:val="num" w:pos="4320"/>
        </w:tabs>
        <w:ind w:left="4320" w:hanging="360"/>
      </w:pPr>
      <w:rPr>
        <w:rFonts w:ascii="Times New Roman" w:hAnsi="Times New Roman" w:hint="default"/>
      </w:rPr>
    </w:lvl>
    <w:lvl w:ilvl="6" w:tplc="1E8A0254" w:tentative="1">
      <w:start w:val="1"/>
      <w:numFmt w:val="bullet"/>
      <w:lvlText w:val="•"/>
      <w:lvlJc w:val="left"/>
      <w:pPr>
        <w:tabs>
          <w:tab w:val="num" w:pos="5040"/>
        </w:tabs>
        <w:ind w:left="5040" w:hanging="360"/>
      </w:pPr>
      <w:rPr>
        <w:rFonts w:ascii="Times New Roman" w:hAnsi="Times New Roman" w:hint="default"/>
      </w:rPr>
    </w:lvl>
    <w:lvl w:ilvl="7" w:tplc="CD0A726A" w:tentative="1">
      <w:start w:val="1"/>
      <w:numFmt w:val="bullet"/>
      <w:lvlText w:val="•"/>
      <w:lvlJc w:val="left"/>
      <w:pPr>
        <w:tabs>
          <w:tab w:val="num" w:pos="5760"/>
        </w:tabs>
        <w:ind w:left="5760" w:hanging="360"/>
      </w:pPr>
      <w:rPr>
        <w:rFonts w:ascii="Times New Roman" w:hAnsi="Times New Roman" w:hint="default"/>
      </w:rPr>
    </w:lvl>
    <w:lvl w:ilvl="8" w:tplc="D67E5A1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78813CE"/>
    <w:multiLevelType w:val="hybridMultilevel"/>
    <w:tmpl w:val="23DAC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41560"/>
    <w:multiLevelType w:val="hybridMultilevel"/>
    <w:tmpl w:val="8E329B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C45727D"/>
    <w:multiLevelType w:val="hybridMultilevel"/>
    <w:tmpl w:val="F3824458"/>
    <w:lvl w:ilvl="0" w:tplc="786ADB4A">
      <w:start w:val="1"/>
      <w:numFmt w:val="bullet"/>
      <w:lvlText w:val="•"/>
      <w:lvlJc w:val="left"/>
      <w:pPr>
        <w:tabs>
          <w:tab w:val="num" w:pos="720"/>
        </w:tabs>
        <w:ind w:left="720" w:hanging="360"/>
      </w:pPr>
      <w:rPr>
        <w:rFonts w:ascii="Times New Roman" w:hAnsi="Times New Roman" w:hint="default"/>
      </w:rPr>
    </w:lvl>
    <w:lvl w:ilvl="1" w:tplc="2B40ACF6" w:tentative="1">
      <w:start w:val="1"/>
      <w:numFmt w:val="bullet"/>
      <w:lvlText w:val="•"/>
      <w:lvlJc w:val="left"/>
      <w:pPr>
        <w:tabs>
          <w:tab w:val="num" w:pos="1440"/>
        </w:tabs>
        <w:ind w:left="1440" w:hanging="360"/>
      </w:pPr>
      <w:rPr>
        <w:rFonts w:ascii="Times New Roman" w:hAnsi="Times New Roman" w:hint="default"/>
      </w:rPr>
    </w:lvl>
    <w:lvl w:ilvl="2" w:tplc="FF8EAF62" w:tentative="1">
      <w:start w:val="1"/>
      <w:numFmt w:val="bullet"/>
      <w:lvlText w:val="•"/>
      <w:lvlJc w:val="left"/>
      <w:pPr>
        <w:tabs>
          <w:tab w:val="num" w:pos="2160"/>
        </w:tabs>
        <w:ind w:left="2160" w:hanging="360"/>
      </w:pPr>
      <w:rPr>
        <w:rFonts w:ascii="Times New Roman" w:hAnsi="Times New Roman" w:hint="default"/>
      </w:rPr>
    </w:lvl>
    <w:lvl w:ilvl="3" w:tplc="BF82719A" w:tentative="1">
      <w:start w:val="1"/>
      <w:numFmt w:val="bullet"/>
      <w:lvlText w:val="•"/>
      <w:lvlJc w:val="left"/>
      <w:pPr>
        <w:tabs>
          <w:tab w:val="num" w:pos="2880"/>
        </w:tabs>
        <w:ind w:left="2880" w:hanging="360"/>
      </w:pPr>
      <w:rPr>
        <w:rFonts w:ascii="Times New Roman" w:hAnsi="Times New Roman" w:hint="default"/>
      </w:rPr>
    </w:lvl>
    <w:lvl w:ilvl="4" w:tplc="95E041F4" w:tentative="1">
      <w:start w:val="1"/>
      <w:numFmt w:val="bullet"/>
      <w:lvlText w:val="•"/>
      <w:lvlJc w:val="left"/>
      <w:pPr>
        <w:tabs>
          <w:tab w:val="num" w:pos="3600"/>
        </w:tabs>
        <w:ind w:left="3600" w:hanging="360"/>
      </w:pPr>
      <w:rPr>
        <w:rFonts w:ascii="Times New Roman" w:hAnsi="Times New Roman" w:hint="default"/>
      </w:rPr>
    </w:lvl>
    <w:lvl w:ilvl="5" w:tplc="A872CFA2" w:tentative="1">
      <w:start w:val="1"/>
      <w:numFmt w:val="bullet"/>
      <w:lvlText w:val="•"/>
      <w:lvlJc w:val="left"/>
      <w:pPr>
        <w:tabs>
          <w:tab w:val="num" w:pos="4320"/>
        </w:tabs>
        <w:ind w:left="4320" w:hanging="360"/>
      </w:pPr>
      <w:rPr>
        <w:rFonts w:ascii="Times New Roman" w:hAnsi="Times New Roman" w:hint="default"/>
      </w:rPr>
    </w:lvl>
    <w:lvl w:ilvl="6" w:tplc="F65E0B64" w:tentative="1">
      <w:start w:val="1"/>
      <w:numFmt w:val="bullet"/>
      <w:lvlText w:val="•"/>
      <w:lvlJc w:val="left"/>
      <w:pPr>
        <w:tabs>
          <w:tab w:val="num" w:pos="5040"/>
        </w:tabs>
        <w:ind w:left="5040" w:hanging="360"/>
      </w:pPr>
      <w:rPr>
        <w:rFonts w:ascii="Times New Roman" w:hAnsi="Times New Roman" w:hint="default"/>
      </w:rPr>
    </w:lvl>
    <w:lvl w:ilvl="7" w:tplc="470C1852" w:tentative="1">
      <w:start w:val="1"/>
      <w:numFmt w:val="bullet"/>
      <w:lvlText w:val="•"/>
      <w:lvlJc w:val="left"/>
      <w:pPr>
        <w:tabs>
          <w:tab w:val="num" w:pos="5760"/>
        </w:tabs>
        <w:ind w:left="5760" w:hanging="360"/>
      </w:pPr>
      <w:rPr>
        <w:rFonts w:ascii="Times New Roman" w:hAnsi="Times New Roman" w:hint="default"/>
      </w:rPr>
    </w:lvl>
    <w:lvl w:ilvl="8" w:tplc="3F8C405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1D96C34"/>
    <w:multiLevelType w:val="hybridMultilevel"/>
    <w:tmpl w:val="91C817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0C6336"/>
    <w:multiLevelType w:val="hybridMultilevel"/>
    <w:tmpl w:val="99C829B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4A6B31B7"/>
    <w:multiLevelType w:val="hybridMultilevel"/>
    <w:tmpl w:val="030C6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A0F6C"/>
    <w:multiLevelType w:val="hybridMultilevel"/>
    <w:tmpl w:val="795A15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7192EC0"/>
    <w:multiLevelType w:val="hybridMultilevel"/>
    <w:tmpl w:val="030C6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FB79AE"/>
    <w:multiLevelType w:val="hybridMultilevel"/>
    <w:tmpl w:val="CC8EF73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671560CA"/>
    <w:multiLevelType w:val="hybridMultilevel"/>
    <w:tmpl w:val="F4AC26DE"/>
    <w:lvl w:ilvl="0" w:tplc="7BA62062">
      <w:start w:val="1"/>
      <w:numFmt w:val="bullet"/>
      <w:lvlText w:val="•"/>
      <w:lvlJc w:val="left"/>
      <w:pPr>
        <w:tabs>
          <w:tab w:val="num" w:pos="720"/>
        </w:tabs>
        <w:ind w:left="720" w:hanging="360"/>
      </w:pPr>
      <w:rPr>
        <w:rFonts w:ascii="Times New Roman" w:hAnsi="Times New Roman" w:hint="default"/>
      </w:rPr>
    </w:lvl>
    <w:lvl w:ilvl="1" w:tplc="BBECC068" w:tentative="1">
      <w:start w:val="1"/>
      <w:numFmt w:val="bullet"/>
      <w:lvlText w:val="•"/>
      <w:lvlJc w:val="left"/>
      <w:pPr>
        <w:tabs>
          <w:tab w:val="num" w:pos="1440"/>
        </w:tabs>
        <w:ind w:left="1440" w:hanging="360"/>
      </w:pPr>
      <w:rPr>
        <w:rFonts w:ascii="Times New Roman" w:hAnsi="Times New Roman" w:hint="default"/>
      </w:rPr>
    </w:lvl>
    <w:lvl w:ilvl="2" w:tplc="04581074" w:tentative="1">
      <w:start w:val="1"/>
      <w:numFmt w:val="bullet"/>
      <w:lvlText w:val="•"/>
      <w:lvlJc w:val="left"/>
      <w:pPr>
        <w:tabs>
          <w:tab w:val="num" w:pos="2160"/>
        </w:tabs>
        <w:ind w:left="2160" w:hanging="360"/>
      </w:pPr>
      <w:rPr>
        <w:rFonts w:ascii="Times New Roman" w:hAnsi="Times New Roman" w:hint="default"/>
      </w:rPr>
    </w:lvl>
    <w:lvl w:ilvl="3" w:tplc="A322BFBA" w:tentative="1">
      <w:start w:val="1"/>
      <w:numFmt w:val="bullet"/>
      <w:lvlText w:val="•"/>
      <w:lvlJc w:val="left"/>
      <w:pPr>
        <w:tabs>
          <w:tab w:val="num" w:pos="2880"/>
        </w:tabs>
        <w:ind w:left="2880" w:hanging="360"/>
      </w:pPr>
      <w:rPr>
        <w:rFonts w:ascii="Times New Roman" w:hAnsi="Times New Roman" w:hint="default"/>
      </w:rPr>
    </w:lvl>
    <w:lvl w:ilvl="4" w:tplc="CC36EA36" w:tentative="1">
      <w:start w:val="1"/>
      <w:numFmt w:val="bullet"/>
      <w:lvlText w:val="•"/>
      <w:lvlJc w:val="left"/>
      <w:pPr>
        <w:tabs>
          <w:tab w:val="num" w:pos="3600"/>
        </w:tabs>
        <w:ind w:left="3600" w:hanging="360"/>
      </w:pPr>
      <w:rPr>
        <w:rFonts w:ascii="Times New Roman" w:hAnsi="Times New Roman" w:hint="default"/>
      </w:rPr>
    </w:lvl>
    <w:lvl w:ilvl="5" w:tplc="B1DEFE36" w:tentative="1">
      <w:start w:val="1"/>
      <w:numFmt w:val="bullet"/>
      <w:lvlText w:val="•"/>
      <w:lvlJc w:val="left"/>
      <w:pPr>
        <w:tabs>
          <w:tab w:val="num" w:pos="4320"/>
        </w:tabs>
        <w:ind w:left="4320" w:hanging="360"/>
      </w:pPr>
      <w:rPr>
        <w:rFonts w:ascii="Times New Roman" w:hAnsi="Times New Roman" w:hint="default"/>
      </w:rPr>
    </w:lvl>
    <w:lvl w:ilvl="6" w:tplc="E6D63BDA" w:tentative="1">
      <w:start w:val="1"/>
      <w:numFmt w:val="bullet"/>
      <w:lvlText w:val="•"/>
      <w:lvlJc w:val="left"/>
      <w:pPr>
        <w:tabs>
          <w:tab w:val="num" w:pos="5040"/>
        </w:tabs>
        <w:ind w:left="5040" w:hanging="360"/>
      </w:pPr>
      <w:rPr>
        <w:rFonts w:ascii="Times New Roman" w:hAnsi="Times New Roman" w:hint="default"/>
      </w:rPr>
    </w:lvl>
    <w:lvl w:ilvl="7" w:tplc="7CC06AFC" w:tentative="1">
      <w:start w:val="1"/>
      <w:numFmt w:val="bullet"/>
      <w:lvlText w:val="•"/>
      <w:lvlJc w:val="left"/>
      <w:pPr>
        <w:tabs>
          <w:tab w:val="num" w:pos="5760"/>
        </w:tabs>
        <w:ind w:left="5760" w:hanging="360"/>
      </w:pPr>
      <w:rPr>
        <w:rFonts w:ascii="Times New Roman" w:hAnsi="Times New Roman" w:hint="default"/>
      </w:rPr>
    </w:lvl>
    <w:lvl w:ilvl="8" w:tplc="C604036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B5C674F"/>
    <w:multiLevelType w:val="hybridMultilevel"/>
    <w:tmpl w:val="0584E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CA796F"/>
    <w:multiLevelType w:val="hybridMultilevel"/>
    <w:tmpl w:val="10EC9D3E"/>
    <w:lvl w:ilvl="0" w:tplc="0409000B">
      <w:start w:val="1"/>
      <w:numFmt w:val="bullet"/>
      <w:lvlText w:val=""/>
      <w:lvlJc w:val="left"/>
      <w:pPr>
        <w:ind w:left="2771" w:hanging="360"/>
      </w:pPr>
      <w:rPr>
        <w:rFonts w:ascii="Wingdings" w:hAnsi="Wingdings" w:hint="default"/>
      </w:rPr>
    </w:lvl>
    <w:lvl w:ilvl="1" w:tplc="04090003" w:tentative="1">
      <w:start w:val="1"/>
      <w:numFmt w:val="bullet"/>
      <w:lvlText w:val="o"/>
      <w:lvlJc w:val="left"/>
      <w:pPr>
        <w:ind w:left="3491" w:hanging="360"/>
      </w:pPr>
      <w:rPr>
        <w:rFonts w:ascii="Courier New" w:hAnsi="Courier New" w:cs="Courier New" w:hint="default"/>
      </w:rPr>
    </w:lvl>
    <w:lvl w:ilvl="2" w:tplc="04090005" w:tentative="1">
      <w:start w:val="1"/>
      <w:numFmt w:val="bullet"/>
      <w:lvlText w:val=""/>
      <w:lvlJc w:val="left"/>
      <w:pPr>
        <w:ind w:left="4211" w:hanging="360"/>
      </w:pPr>
      <w:rPr>
        <w:rFonts w:ascii="Wingdings" w:hAnsi="Wingdings" w:hint="default"/>
      </w:rPr>
    </w:lvl>
    <w:lvl w:ilvl="3" w:tplc="04090001" w:tentative="1">
      <w:start w:val="1"/>
      <w:numFmt w:val="bullet"/>
      <w:lvlText w:val=""/>
      <w:lvlJc w:val="left"/>
      <w:pPr>
        <w:ind w:left="4931" w:hanging="360"/>
      </w:pPr>
      <w:rPr>
        <w:rFonts w:ascii="Symbol" w:hAnsi="Symbol" w:hint="default"/>
      </w:rPr>
    </w:lvl>
    <w:lvl w:ilvl="4" w:tplc="04090003" w:tentative="1">
      <w:start w:val="1"/>
      <w:numFmt w:val="bullet"/>
      <w:lvlText w:val="o"/>
      <w:lvlJc w:val="left"/>
      <w:pPr>
        <w:ind w:left="5651" w:hanging="360"/>
      </w:pPr>
      <w:rPr>
        <w:rFonts w:ascii="Courier New" w:hAnsi="Courier New" w:cs="Courier New" w:hint="default"/>
      </w:rPr>
    </w:lvl>
    <w:lvl w:ilvl="5" w:tplc="04090005" w:tentative="1">
      <w:start w:val="1"/>
      <w:numFmt w:val="bullet"/>
      <w:lvlText w:val=""/>
      <w:lvlJc w:val="left"/>
      <w:pPr>
        <w:ind w:left="6371" w:hanging="360"/>
      </w:pPr>
      <w:rPr>
        <w:rFonts w:ascii="Wingdings" w:hAnsi="Wingdings" w:hint="default"/>
      </w:rPr>
    </w:lvl>
    <w:lvl w:ilvl="6" w:tplc="04090001" w:tentative="1">
      <w:start w:val="1"/>
      <w:numFmt w:val="bullet"/>
      <w:lvlText w:val=""/>
      <w:lvlJc w:val="left"/>
      <w:pPr>
        <w:ind w:left="7091" w:hanging="360"/>
      </w:pPr>
      <w:rPr>
        <w:rFonts w:ascii="Symbol" w:hAnsi="Symbol" w:hint="default"/>
      </w:rPr>
    </w:lvl>
    <w:lvl w:ilvl="7" w:tplc="04090003" w:tentative="1">
      <w:start w:val="1"/>
      <w:numFmt w:val="bullet"/>
      <w:lvlText w:val="o"/>
      <w:lvlJc w:val="left"/>
      <w:pPr>
        <w:ind w:left="7811" w:hanging="360"/>
      </w:pPr>
      <w:rPr>
        <w:rFonts w:ascii="Courier New" w:hAnsi="Courier New" w:cs="Courier New" w:hint="default"/>
      </w:rPr>
    </w:lvl>
    <w:lvl w:ilvl="8" w:tplc="04090005" w:tentative="1">
      <w:start w:val="1"/>
      <w:numFmt w:val="bullet"/>
      <w:lvlText w:val=""/>
      <w:lvlJc w:val="left"/>
      <w:pPr>
        <w:ind w:left="8531" w:hanging="360"/>
      </w:pPr>
      <w:rPr>
        <w:rFonts w:ascii="Wingdings" w:hAnsi="Wingdings" w:hint="default"/>
      </w:rPr>
    </w:lvl>
  </w:abstractNum>
  <w:abstractNum w:abstractNumId="17" w15:restartNumberingAfterBreak="0">
    <w:nsid w:val="754E6FB0"/>
    <w:multiLevelType w:val="hybridMultilevel"/>
    <w:tmpl w:val="840E7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CA2971"/>
    <w:multiLevelType w:val="hybridMultilevel"/>
    <w:tmpl w:val="331618E6"/>
    <w:lvl w:ilvl="0" w:tplc="7E10AEA4">
      <w:start w:val="1"/>
      <w:numFmt w:val="bullet"/>
      <w:lvlText w:val="•"/>
      <w:lvlJc w:val="left"/>
      <w:pPr>
        <w:tabs>
          <w:tab w:val="num" w:pos="720"/>
        </w:tabs>
        <w:ind w:left="720" w:hanging="360"/>
      </w:pPr>
      <w:rPr>
        <w:rFonts w:ascii="Times New Roman" w:hAnsi="Times New Roman" w:hint="default"/>
      </w:rPr>
    </w:lvl>
    <w:lvl w:ilvl="1" w:tplc="7C86B140" w:tentative="1">
      <w:start w:val="1"/>
      <w:numFmt w:val="bullet"/>
      <w:lvlText w:val="•"/>
      <w:lvlJc w:val="left"/>
      <w:pPr>
        <w:tabs>
          <w:tab w:val="num" w:pos="1440"/>
        </w:tabs>
        <w:ind w:left="1440" w:hanging="360"/>
      </w:pPr>
      <w:rPr>
        <w:rFonts w:ascii="Times New Roman" w:hAnsi="Times New Roman" w:hint="default"/>
      </w:rPr>
    </w:lvl>
    <w:lvl w:ilvl="2" w:tplc="9AA8947A" w:tentative="1">
      <w:start w:val="1"/>
      <w:numFmt w:val="bullet"/>
      <w:lvlText w:val="•"/>
      <w:lvlJc w:val="left"/>
      <w:pPr>
        <w:tabs>
          <w:tab w:val="num" w:pos="2160"/>
        </w:tabs>
        <w:ind w:left="2160" w:hanging="360"/>
      </w:pPr>
      <w:rPr>
        <w:rFonts w:ascii="Times New Roman" w:hAnsi="Times New Roman" w:hint="default"/>
      </w:rPr>
    </w:lvl>
    <w:lvl w:ilvl="3" w:tplc="AF1A2EE4" w:tentative="1">
      <w:start w:val="1"/>
      <w:numFmt w:val="bullet"/>
      <w:lvlText w:val="•"/>
      <w:lvlJc w:val="left"/>
      <w:pPr>
        <w:tabs>
          <w:tab w:val="num" w:pos="2880"/>
        </w:tabs>
        <w:ind w:left="2880" w:hanging="360"/>
      </w:pPr>
      <w:rPr>
        <w:rFonts w:ascii="Times New Roman" w:hAnsi="Times New Roman" w:hint="default"/>
      </w:rPr>
    </w:lvl>
    <w:lvl w:ilvl="4" w:tplc="35FC7EC8" w:tentative="1">
      <w:start w:val="1"/>
      <w:numFmt w:val="bullet"/>
      <w:lvlText w:val="•"/>
      <w:lvlJc w:val="left"/>
      <w:pPr>
        <w:tabs>
          <w:tab w:val="num" w:pos="3600"/>
        </w:tabs>
        <w:ind w:left="3600" w:hanging="360"/>
      </w:pPr>
      <w:rPr>
        <w:rFonts w:ascii="Times New Roman" w:hAnsi="Times New Roman" w:hint="default"/>
      </w:rPr>
    </w:lvl>
    <w:lvl w:ilvl="5" w:tplc="416077E2" w:tentative="1">
      <w:start w:val="1"/>
      <w:numFmt w:val="bullet"/>
      <w:lvlText w:val="•"/>
      <w:lvlJc w:val="left"/>
      <w:pPr>
        <w:tabs>
          <w:tab w:val="num" w:pos="4320"/>
        </w:tabs>
        <w:ind w:left="4320" w:hanging="360"/>
      </w:pPr>
      <w:rPr>
        <w:rFonts w:ascii="Times New Roman" w:hAnsi="Times New Roman" w:hint="default"/>
      </w:rPr>
    </w:lvl>
    <w:lvl w:ilvl="6" w:tplc="8C202088" w:tentative="1">
      <w:start w:val="1"/>
      <w:numFmt w:val="bullet"/>
      <w:lvlText w:val="•"/>
      <w:lvlJc w:val="left"/>
      <w:pPr>
        <w:tabs>
          <w:tab w:val="num" w:pos="5040"/>
        </w:tabs>
        <w:ind w:left="5040" w:hanging="360"/>
      </w:pPr>
      <w:rPr>
        <w:rFonts w:ascii="Times New Roman" w:hAnsi="Times New Roman" w:hint="default"/>
      </w:rPr>
    </w:lvl>
    <w:lvl w:ilvl="7" w:tplc="87F2BA20" w:tentative="1">
      <w:start w:val="1"/>
      <w:numFmt w:val="bullet"/>
      <w:lvlText w:val="•"/>
      <w:lvlJc w:val="left"/>
      <w:pPr>
        <w:tabs>
          <w:tab w:val="num" w:pos="5760"/>
        </w:tabs>
        <w:ind w:left="5760" w:hanging="360"/>
      </w:pPr>
      <w:rPr>
        <w:rFonts w:ascii="Times New Roman" w:hAnsi="Times New Roman" w:hint="default"/>
      </w:rPr>
    </w:lvl>
    <w:lvl w:ilvl="8" w:tplc="0C32208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72354EF"/>
    <w:multiLevelType w:val="hybridMultilevel"/>
    <w:tmpl w:val="ED4AC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A4125B"/>
    <w:multiLevelType w:val="hybridMultilevel"/>
    <w:tmpl w:val="C1F21D6E"/>
    <w:lvl w:ilvl="0" w:tplc="44F4B57E">
      <w:start w:val="1"/>
      <w:numFmt w:val="bullet"/>
      <w:lvlText w:val="•"/>
      <w:lvlJc w:val="left"/>
      <w:pPr>
        <w:tabs>
          <w:tab w:val="num" w:pos="720"/>
        </w:tabs>
        <w:ind w:left="720" w:hanging="360"/>
      </w:pPr>
      <w:rPr>
        <w:rFonts w:ascii="Times New Roman" w:hAnsi="Times New Roman" w:hint="default"/>
      </w:rPr>
    </w:lvl>
    <w:lvl w:ilvl="1" w:tplc="46AA46C6" w:tentative="1">
      <w:start w:val="1"/>
      <w:numFmt w:val="bullet"/>
      <w:lvlText w:val="•"/>
      <w:lvlJc w:val="left"/>
      <w:pPr>
        <w:tabs>
          <w:tab w:val="num" w:pos="1440"/>
        </w:tabs>
        <w:ind w:left="1440" w:hanging="360"/>
      </w:pPr>
      <w:rPr>
        <w:rFonts w:ascii="Times New Roman" w:hAnsi="Times New Roman" w:hint="default"/>
      </w:rPr>
    </w:lvl>
    <w:lvl w:ilvl="2" w:tplc="65887F7C" w:tentative="1">
      <w:start w:val="1"/>
      <w:numFmt w:val="bullet"/>
      <w:lvlText w:val="•"/>
      <w:lvlJc w:val="left"/>
      <w:pPr>
        <w:tabs>
          <w:tab w:val="num" w:pos="2160"/>
        </w:tabs>
        <w:ind w:left="2160" w:hanging="360"/>
      </w:pPr>
      <w:rPr>
        <w:rFonts w:ascii="Times New Roman" w:hAnsi="Times New Roman" w:hint="default"/>
      </w:rPr>
    </w:lvl>
    <w:lvl w:ilvl="3" w:tplc="4934DB2C" w:tentative="1">
      <w:start w:val="1"/>
      <w:numFmt w:val="bullet"/>
      <w:lvlText w:val="•"/>
      <w:lvlJc w:val="left"/>
      <w:pPr>
        <w:tabs>
          <w:tab w:val="num" w:pos="2880"/>
        </w:tabs>
        <w:ind w:left="2880" w:hanging="360"/>
      </w:pPr>
      <w:rPr>
        <w:rFonts w:ascii="Times New Roman" w:hAnsi="Times New Roman" w:hint="default"/>
      </w:rPr>
    </w:lvl>
    <w:lvl w:ilvl="4" w:tplc="E1201DE6" w:tentative="1">
      <w:start w:val="1"/>
      <w:numFmt w:val="bullet"/>
      <w:lvlText w:val="•"/>
      <w:lvlJc w:val="left"/>
      <w:pPr>
        <w:tabs>
          <w:tab w:val="num" w:pos="3600"/>
        </w:tabs>
        <w:ind w:left="3600" w:hanging="360"/>
      </w:pPr>
      <w:rPr>
        <w:rFonts w:ascii="Times New Roman" w:hAnsi="Times New Roman" w:hint="default"/>
      </w:rPr>
    </w:lvl>
    <w:lvl w:ilvl="5" w:tplc="6A76BD1A" w:tentative="1">
      <w:start w:val="1"/>
      <w:numFmt w:val="bullet"/>
      <w:lvlText w:val="•"/>
      <w:lvlJc w:val="left"/>
      <w:pPr>
        <w:tabs>
          <w:tab w:val="num" w:pos="4320"/>
        </w:tabs>
        <w:ind w:left="4320" w:hanging="360"/>
      </w:pPr>
      <w:rPr>
        <w:rFonts w:ascii="Times New Roman" w:hAnsi="Times New Roman" w:hint="default"/>
      </w:rPr>
    </w:lvl>
    <w:lvl w:ilvl="6" w:tplc="05C6F9C4" w:tentative="1">
      <w:start w:val="1"/>
      <w:numFmt w:val="bullet"/>
      <w:lvlText w:val="•"/>
      <w:lvlJc w:val="left"/>
      <w:pPr>
        <w:tabs>
          <w:tab w:val="num" w:pos="5040"/>
        </w:tabs>
        <w:ind w:left="5040" w:hanging="360"/>
      </w:pPr>
      <w:rPr>
        <w:rFonts w:ascii="Times New Roman" w:hAnsi="Times New Roman" w:hint="default"/>
      </w:rPr>
    </w:lvl>
    <w:lvl w:ilvl="7" w:tplc="8BB2BB2C" w:tentative="1">
      <w:start w:val="1"/>
      <w:numFmt w:val="bullet"/>
      <w:lvlText w:val="•"/>
      <w:lvlJc w:val="left"/>
      <w:pPr>
        <w:tabs>
          <w:tab w:val="num" w:pos="5760"/>
        </w:tabs>
        <w:ind w:left="5760" w:hanging="360"/>
      </w:pPr>
      <w:rPr>
        <w:rFonts w:ascii="Times New Roman" w:hAnsi="Times New Roman" w:hint="default"/>
      </w:rPr>
    </w:lvl>
    <w:lvl w:ilvl="8" w:tplc="30B28A22" w:tentative="1">
      <w:start w:val="1"/>
      <w:numFmt w:val="bullet"/>
      <w:lvlText w:val="•"/>
      <w:lvlJc w:val="left"/>
      <w:pPr>
        <w:tabs>
          <w:tab w:val="num" w:pos="6480"/>
        </w:tabs>
        <w:ind w:left="6480" w:hanging="360"/>
      </w:pPr>
      <w:rPr>
        <w:rFonts w:ascii="Times New Roman" w:hAnsi="Times New Roman" w:hint="default"/>
      </w:rPr>
    </w:lvl>
  </w:abstractNum>
  <w:num w:numId="1">
    <w:abstractNumId w:val="16"/>
  </w:num>
  <w:num w:numId="2">
    <w:abstractNumId w:val="8"/>
  </w:num>
  <w:num w:numId="3">
    <w:abstractNumId w:val="5"/>
  </w:num>
  <w:num w:numId="4">
    <w:abstractNumId w:val="10"/>
  </w:num>
  <w:num w:numId="5">
    <w:abstractNumId w:val="15"/>
  </w:num>
  <w:num w:numId="6">
    <w:abstractNumId w:val="3"/>
  </w:num>
  <w:num w:numId="7">
    <w:abstractNumId w:val="13"/>
  </w:num>
  <w:num w:numId="8">
    <w:abstractNumId w:val="17"/>
  </w:num>
  <w:num w:numId="9">
    <w:abstractNumId w:val="12"/>
  </w:num>
  <w:num w:numId="10">
    <w:abstractNumId w:val="0"/>
  </w:num>
  <w:num w:numId="11">
    <w:abstractNumId w:val="19"/>
  </w:num>
  <w:num w:numId="12">
    <w:abstractNumId w:val="1"/>
  </w:num>
  <w:num w:numId="13">
    <w:abstractNumId w:val="2"/>
  </w:num>
  <w:num w:numId="14">
    <w:abstractNumId w:val="9"/>
  </w:num>
  <w:num w:numId="15">
    <w:abstractNumId w:val="6"/>
  </w:num>
  <w:num w:numId="16">
    <w:abstractNumId w:val="7"/>
  </w:num>
  <w:num w:numId="17">
    <w:abstractNumId w:val="4"/>
  </w:num>
  <w:num w:numId="18">
    <w:abstractNumId w:val="20"/>
  </w:num>
  <w:num w:numId="19">
    <w:abstractNumId w:val="14"/>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328"/>
    <w:rsid w:val="0000061C"/>
    <w:rsid w:val="000052A8"/>
    <w:rsid w:val="00012A74"/>
    <w:rsid w:val="00013185"/>
    <w:rsid w:val="00021218"/>
    <w:rsid w:val="00024941"/>
    <w:rsid w:val="000459D8"/>
    <w:rsid w:val="00050732"/>
    <w:rsid w:val="0006360F"/>
    <w:rsid w:val="0006565C"/>
    <w:rsid w:val="00093C72"/>
    <w:rsid w:val="000B7F0F"/>
    <w:rsid w:val="000C2ACF"/>
    <w:rsid w:val="000E3AA3"/>
    <w:rsid w:val="000F1726"/>
    <w:rsid w:val="00103E10"/>
    <w:rsid w:val="00123BDB"/>
    <w:rsid w:val="0015639D"/>
    <w:rsid w:val="001569DF"/>
    <w:rsid w:val="00184C54"/>
    <w:rsid w:val="001935D4"/>
    <w:rsid w:val="001B700D"/>
    <w:rsid w:val="001D2596"/>
    <w:rsid w:val="001D2FA9"/>
    <w:rsid w:val="001E13EE"/>
    <w:rsid w:val="001F4F76"/>
    <w:rsid w:val="001F4FE5"/>
    <w:rsid w:val="00201ADB"/>
    <w:rsid w:val="002030D4"/>
    <w:rsid w:val="00214D00"/>
    <w:rsid w:val="00221614"/>
    <w:rsid w:val="002266FD"/>
    <w:rsid w:val="00240B45"/>
    <w:rsid w:val="00240BCA"/>
    <w:rsid w:val="0026180B"/>
    <w:rsid w:val="002651E8"/>
    <w:rsid w:val="0027241B"/>
    <w:rsid w:val="002A1D8F"/>
    <w:rsid w:val="002B0080"/>
    <w:rsid w:val="002B2790"/>
    <w:rsid w:val="002B2AF6"/>
    <w:rsid w:val="002C3977"/>
    <w:rsid w:val="002D37CD"/>
    <w:rsid w:val="002F7CEA"/>
    <w:rsid w:val="00302349"/>
    <w:rsid w:val="00321328"/>
    <w:rsid w:val="0033665E"/>
    <w:rsid w:val="00370DFE"/>
    <w:rsid w:val="00374F76"/>
    <w:rsid w:val="00375BF4"/>
    <w:rsid w:val="0037625E"/>
    <w:rsid w:val="003900DD"/>
    <w:rsid w:val="00392C5D"/>
    <w:rsid w:val="00392F90"/>
    <w:rsid w:val="003A1828"/>
    <w:rsid w:val="003B78B8"/>
    <w:rsid w:val="003C7538"/>
    <w:rsid w:val="003D7EB4"/>
    <w:rsid w:val="003E1F3C"/>
    <w:rsid w:val="003E4E41"/>
    <w:rsid w:val="003F405C"/>
    <w:rsid w:val="00404C24"/>
    <w:rsid w:val="0044330D"/>
    <w:rsid w:val="0044756A"/>
    <w:rsid w:val="00464EDC"/>
    <w:rsid w:val="00473A74"/>
    <w:rsid w:val="00475F1C"/>
    <w:rsid w:val="00483716"/>
    <w:rsid w:val="0049549B"/>
    <w:rsid w:val="00497E5F"/>
    <w:rsid w:val="004A0DFB"/>
    <w:rsid w:val="004C5231"/>
    <w:rsid w:val="004C59B4"/>
    <w:rsid w:val="004D1BA7"/>
    <w:rsid w:val="004D4A1D"/>
    <w:rsid w:val="004F0114"/>
    <w:rsid w:val="005141B7"/>
    <w:rsid w:val="005167D1"/>
    <w:rsid w:val="00526C08"/>
    <w:rsid w:val="00527884"/>
    <w:rsid w:val="00527DD7"/>
    <w:rsid w:val="00534559"/>
    <w:rsid w:val="00536702"/>
    <w:rsid w:val="00541850"/>
    <w:rsid w:val="00545DD1"/>
    <w:rsid w:val="005473DD"/>
    <w:rsid w:val="00551A0C"/>
    <w:rsid w:val="005520F0"/>
    <w:rsid w:val="00556799"/>
    <w:rsid w:val="0056655B"/>
    <w:rsid w:val="00577341"/>
    <w:rsid w:val="005B1E9F"/>
    <w:rsid w:val="005B3C0C"/>
    <w:rsid w:val="005B3ECE"/>
    <w:rsid w:val="005B5A7D"/>
    <w:rsid w:val="005C1801"/>
    <w:rsid w:val="005C6E76"/>
    <w:rsid w:val="005F28FD"/>
    <w:rsid w:val="0061775D"/>
    <w:rsid w:val="0064387E"/>
    <w:rsid w:val="00645DC9"/>
    <w:rsid w:val="0067047F"/>
    <w:rsid w:val="00676DD2"/>
    <w:rsid w:val="00682D54"/>
    <w:rsid w:val="00687676"/>
    <w:rsid w:val="006A6A04"/>
    <w:rsid w:val="006C6F66"/>
    <w:rsid w:val="006D4391"/>
    <w:rsid w:val="00707C33"/>
    <w:rsid w:val="00722AE4"/>
    <w:rsid w:val="00747A35"/>
    <w:rsid w:val="00764077"/>
    <w:rsid w:val="007662E9"/>
    <w:rsid w:val="00771D43"/>
    <w:rsid w:val="0077483F"/>
    <w:rsid w:val="00777EEE"/>
    <w:rsid w:val="00796AEC"/>
    <w:rsid w:val="007A7572"/>
    <w:rsid w:val="007A7AEA"/>
    <w:rsid w:val="007D3F13"/>
    <w:rsid w:val="007D44EC"/>
    <w:rsid w:val="007D5915"/>
    <w:rsid w:val="007D7E91"/>
    <w:rsid w:val="007F3F8A"/>
    <w:rsid w:val="00811C17"/>
    <w:rsid w:val="00824EB8"/>
    <w:rsid w:val="00850324"/>
    <w:rsid w:val="00860E68"/>
    <w:rsid w:val="008A7F67"/>
    <w:rsid w:val="008A7F9F"/>
    <w:rsid w:val="008C0498"/>
    <w:rsid w:val="008C1092"/>
    <w:rsid w:val="008C7FAB"/>
    <w:rsid w:val="008D544B"/>
    <w:rsid w:val="008F3307"/>
    <w:rsid w:val="0092175E"/>
    <w:rsid w:val="009418CD"/>
    <w:rsid w:val="00943953"/>
    <w:rsid w:val="00945743"/>
    <w:rsid w:val="00947820"/>
    <w:rsid w:val="00950657"/>
    <w:rsid w:val="00953EBD"/>
    <w:rsid w:val="0095793B"/>
    <w:rsid w:val="009611B1"/>
    <w:rsid w:val="009733CD"/>
    <w:rsid w:val="00980B53"/>
    <w:rsid w:val="00981D1F"/>
    <w:rsid w:val="00983DC3"/>
    <w:rsid w:val="00983F2B"/>
    <w:rsid w:val="00984BEC"/>
    <w:rsid w:val="0098755F"/>
    <w:rsid w:val="00992490"/>
    <w:rsid w:val="0099450D"/>
    <w:rsid w:val="009A779C"/>
    <w:rsid w:val="009C1B9B"/>
    <w:rsid w:val="009C2EB6"/>
    <w:rsid w:val="009C6A06"/>
    <w:rsid w:val="009E5C85"/>
    <w:rsid w:val="009F1307"/>
    <w:rsid w:val="00A37E22"/>
    <w:rsid w:val="00A45ECE"/>
    <w:rsid w:val="00A52DEE"/>
    <w:rsid w:val="00A73390"/>
    <w:rsid w:val="00A75F5C"/>
    <w:rsid w:val="00A7689E"/>
    <w:rsid w:val="00A85163"/>
    <w:rsid w:val="00A85884"/>
    <w:rsid w:val="00A95363"/>
    <w:rsid w:val="00AC19D0"/>
    <w:rsid w:val="00AC420A"/>
    <w:rsid w:val="00AD27AD"/>
    <w:rsid w:val="00AE6F4F"/>
    <w:rsid w:val="00AF669D"/>
    <w:rsid w:val="00B1598D"/>
    <w:rsid w:val="00B163BE"/>
    <w:rsid w:val="00B21C4B"/>
    <w:rsid w:val="00B43744"/>
    <w:rsid w:val="00B44ED2"/>
    <w:rsid w:val="00B45F2A"/>
    <w:rsid w:val="00B679BF"/>
    <w:rsid w:val="00B838E7"/>
    <w:rsid w:val="00B85A83"/>
    <w:rsid w:val="00B85D1A"/>
    <w:rsid w:val="00B90E4D"/>
    <w:rsid w:val="00BA5316"/>
    <w:rsid w:val="00BC61E8"/>
    <w:rsid w:val="00BD2DF6"/>
    <w:rsid w:val="00BE0F56"/>
    <w:rsid w:val="00BE13ED"/>
    <w:rsid w:val="00BE6F57"/>
    <w:rsid w:val="00BF42C8"/>
    <w:rsid w:val="00BF5948"/>
    <w:rsid w:val="00C025A4"/>
    <w:rsid w:val="00C044B4"/>
    <w:rsid w:val="00C171D6"/>
    <w:rsid w:val="00C25967"/>
    <w:rsid w:val="00C33351"/>
    <w:rsid w:val="00C4797C"/>
    <w:rsid w:val="00C6464D"/>
    <w:rsid w:val="00C77ED6"/>
    <w:rsid w:val="00C810C7"/>
    <w:rsid w:val="00C817ED"/>
    <w:rsid w:val="00C953B3"/>
    <w:rsid w:val="00CA3948"/>
    <w:rsid w:val="00CA3A01"/>
    <w:rsid w:val="00CD007B"/>
    <w:rsid w:val="00CD3A7E"/>
    <w:rsid w:val="00CE6251"/>
    <w:rsid w:val="00D1407A"/>
    <w:rsid w:val="00D17963"/>
    <w:rsid w:val="00D22E25"/>
    <w:rsid w:val="00D30546"/>
    <w:rsid w:val="00D31D96"/>
    <w:rsid w:val="00D44BA9"/>
    <w:rsid w:val="00D54EA7"/>
    <w:rsid w:val="00D63EF5"/>
    <w:rsid w:val="00D64006"/>
    <w:rsid w:val="00D74983"/>
    <w:rsid w:val="00D81E9D"/>
    <w:rsid w:val="00D94258"/>
    <w:rsid w:val="00DA52BC"/>
    <w:rsid w:val="00DA5647"/>
    <w:rsid w:val="00DB22B8"/>
    <w:rsid w:val="00DB70E2"/>
    <w:rsid w:val="00DC39C2"/>
    <w:rsid w:val="00DC489C"/>
    <w:rsid w:val="00DC69DC"/>
    <w:rsid w:val="00DF024A"/>
    <w:rsid w:val="00E00DBC"/>
    <w:rsid w:val="00E07816"/>
    <w:rsid w:val="00E34216"/>
    <w:rsid w:val="00E54BDF"/>
    <w:rsid w:val="00E56C0C"/>
    <w:rsid w:val="00E60D00"/>
    <w:rsid w:val="00E718D5"/>
    <w:rsid w:val="00E750D2"/>
    <w:rsid w:val="00E812E2"/>
    <w:rsid w:val="00E873C7"/>
    <w:rsid w:val="00EA7B89"/>
    <w:rsid w:val="00EB6741"/>
    <w:rsid w:val="00EC5FD7"/>
    <w:rsid w:val="00EE1399"/>
    <w:rsid w:val="00EE17FB"/>
    <w:rsid w:val="00EE5083"/>
    <w:rsid w:val="00F00119"/>
    <w:rsid w:val="00F259F7"/>
    <w:rsid w:val="00F3468D"/>
    <w:rsid w:val="00F41748"/>
    <w:rsid w:val="00F442AB"/>
    <w:rsid w:val="00F5715A"/>
    <w:rsid w:val="00F57DAC"/>
    <w:rsid w:val="00F66932"/>
    <w:rsid w:val="00F9168F"/>
    <w:rsid w:val="00FA1DBA"/>
    <w:rsid w:val="00FA63DD"/>
    <w:rsid w:val="00FA79CD"/>
    <w:rsid w:val="00FB7122"/>
    <w:rsid w:val="00FF696B"/>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76C9677B"/>
  <w15:docId w15:val="{97A6C407-A56F-4489-9D24-86186941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13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328"/>
    <w:pPr>
      <w:ind w:left="720"/>
      <w:contextualSpacing/>
    </w:pPr>
    <w:rPr>
      <w:rFonts w:ascii="Cambria" w:eastAsia="MS Mincho" w:hAnsi="Cambria" w:cs="Times New Roman"/>
    </w:rPr>
  </w:style>
  <w:style w:type="paragraph" w:styleId="a4">
    <w:name w:val="footnote text"/>
    <w:basedOn w:val="a"/>
    <w:link w:val="Char"/>
    <w:uiPriority w:val="99"/>
    <w:unhideWhenUsed/>
    <w:rsid w:val="002B2AF6"/>
  </w:style>
  <w:style w:type="character" w:customStyle="1" w:styleId="Char">
    <w:name w:val="Κείμενο υποσημείωσης Char"/>
    <w:basedOn w:val="a0"/>
    <w:link w:val="a4"/>
    <w:uiPriority w:val="99"/>
    <w:rsid w:val="002B2AF6"/>
  </w:style>
  <w:style w:type="character" w:styleId="a5">
    <w:name w:val="footnote reference"/>
    <w:basedOn w:val="a0"/>
    <w:uiPriority w:val="99"/>
    <w:unhideWhenUsed/>
    <w:rsid w:val="002B2AF6"/>
    <w:rPr>
      <w:vertAlign w:val="superscript"/>
    </w:rPr>
  </w:style>
  <w:style w:type="paragraph" w:styleId="Web">
    <w:name w:val="Normal (Web)"/>
    <w:basedOn w:val="a"/>
    <w:uiPriority w:val="99"/>
    <w:semiHidden/>
    <w:unhideWhenUsed/>
    <w:rsid w:val="00AC420A"/>
    <w:pPr>
      <w:spacing w:before="100" w:beforeAutospacing="1" w:after="100" w:afterAutospacing="1"/>
    </w:pPr>
    <w:rPr>
      <w:rFonts w:ascii="Times" w:hAnsi="Times" w:cs="Times New Roman"/>
      <w:sz w:val="20"/>
      <w:szCs w:val="20"/>
    </w:rPr>
  </w:style>
  <w:style w:type="paragraph" w:styleId="a6">
    <w:name w:val="Balloon Text"/>
    <w:basedOn w:val="a"/>
    <w:link w:val="Char0"/>
    <w:uiPriority w:val="99"/>
    <w:semiHidden/>
    <w:unhideWhenUsed/>
    <w:rsid w:val="00B85D1A"/>
    <w:rPr>
      <w:rFonts w:ascii="Lucida Grande" w:hAnsi="Lucida Grande"/>
      <w:sz w:val="18"/>
      <w:szCs w:val="18"/>
    </w:rPr>
  </w:style>
  <w:style w:type="character" w:customStyle="1" w:styleId="Char0">
    <w:name w:val="Κείμενο πλαισίου Char"/>
    <w:basedOn w:val="a0"/>
    <w:link w:val="a6"/>
    <w:uiPriority w:val="99"/>
    <w:semiHidden/>
    <w:rsid w:val="00B85D1A"/>
    <w:rPr>
      <w:rFonts w:ascii="Lucida Grande" w:hAnsi="Lucida Grande"/>
      <w:sz w:val="18"/>
      <w:szCs w:val="18"/>
    </w:rPr>
  </w:style>
  <w:style w:type="paragraph" w:styleId="a7">
    <w:name w:val="header"/>
    <w:basedOn w:val="a"/>
    <w:link w:val="Char1"/>
    <w:uiPriority w:val="99"/>
    <w:unhideWhenUsed/>
    <w:rsid w:val="005473DD"/>
    <w:pPr>
      <w:tabs>
        <w:tab w:val="center" w:pos="4153"/>
        <w:tab w:val="right" w:pos="8306"/>
      </w:tabs>
    </w:pPr>
  </w:style>
  <w:style w:type="character" w:customStyle="1" w:styleId="Char1">
    <w:name w:val="Κεφαλίδα Char"/>
    <w:basedOn w:val="a0"/>
    <w:link w:val="a7"/>
    <w:uiPriority w:val="99"/>
    <w:rsid w:val="005473DD"/>
  </w:style>
  <w:style w:type="paragraph" w:styleId="a8">
    <w:name w:val="footer"/>
    <w:basedOn w:val="a"/>
    <w:link w:val="Char2"/>
    <w:uiPriority w:val="99"/>
    <w:unhideWhenUsed/>
    <w:rsid w:val="005473DD"/>
    <w:pPr>
      <w:tabs>
        <w:tab w:val="center" w:pos="4153"/>
        <w:tab w:val="right" w:pos="8306"/>
      </w:tabs>
    </w:pPr>
  </w:style>
  <w:style w:type="character" w:customStyle="1" w:styleId="Char2">
    <w:name w:val="Υποσέλιδο Char"/>
    <w:basedOn w:val="a0"/>
    <w:link w:val="a8"/>
    <w:uiPriority w:val="99"/>
    <w:rsid w:val="005473DD"/>
  </w:style>
  <w:style w:type="table" w:customStyle="1" w:styleId="1">
    <w:name w:val="Πλέγμα πίνακα1"/>
    <w:basedOn w:val="a1"/>
    <w:next w:val="a9"/>
    <w:uiPriority w:val="59"/>
    <w:unhideWhenUsed/>
    <w:rsid w:val="005473DD"/>
    <w:rPr>
      <w:rFonts w:eastAsiaTheme="minorHAns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547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6A04"/>
    <w:pPr>
      <w:autoSpaceDE w:val="0"/>
      <w:autoSpaceDN w:val="0"/>
      <w:adjustRightInd w:val="0"/>
    </w:pPr>
    <w:rPr>
      <w:rFonts w:ascii="Calibri" w:hAnsi="Calibri" w:cs="Calibri"/>
      <w:color w:val="000000"/>
      <w:lang w:val="el-GR"/>
    </w:rPr>
  </w:style>
  <w:style w:type="character" w:customStyle="1" w:styleId="apple-converted-space">
    <w:name w:val="apple-converted-space"/>
    <w:basedOn w:val="a0"/>
    <w:rsid w:val="007F3F8A"/>
  </w:style>
  <w:style w:type="character" w:styleId="-">
    <w:name w:val="Hyperlink"/>
    <w:basedOn w:val="a0"/>
    <w:uiPriority w:val="99"/>
    <w:unhideWhenUsed/>
    <w:rsid w:val="007662E9"/>
    <w:rPr>
      <w:color w:val="0000FF" w:themeColor="hyperlink"/>
      <w:u w:val="single"/>
    </w:rPr>
  </w:style>
  <w:style w:type="character" w:styleId="aa">
    <w:name w:val="annotation reference"/>
    <w:basedOn w:val="a0"/>
    <w:uiPriority w:val="99"/>
    <w:semiHidden/>
    <w:unhideWhenUsed/>
    <w:rsid w:val="00645DC9"/>
    <w:rPr>
      <w:sz w:val="16"/>
      <w:szCs w:val="16"/>
    </w:rPr>
  </w:style>
  <w:style w:type="paragraph" w:styleId="ab">
    <w:name w:val="annotation text"/>
    <w:basedOn w:val="a"/>
    <w:link w:val="Char3"/>
    <w:uiPriority w:val="99"/>
    <w:semiHidden/>
    <w:unhideWhenUsed/>
    <w:rsid w:val="00645DC9"/>
    <w:rPr>
      <w:sz w:val="20"/>
      <w:szCs w:val="20"/>
    </w:rPr>
  </w:style>
  <w:style w:type="character" w:customStyle="1" w:styleId="Char3">
    <w:name w:val="Κείμενο σχολίου Char"/>
    <w:basedOn w:val="a0"/>
    <w:link w:val="ab"/>
    <w:uiPriority w:val="99"/>
    <w:semiHidden/>
    <w:rsid w:val="00645D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0259">
      <w:bodyDiv w:val="1"/>
      <w:marLeft w:val="0"/>
      <w:marRight w:val="0"/>
      <w:marTop w:val="0"/>
      <w:marBottom w:val="0"/>
      <w:divBdr>
        <w:top w:val="none" w:sz="0" w:space="0" w:color="auto"/>
        <w:left w:val="none" w:sz="0" w:space="0" w:color="auto"/>
        <w:bottom w:val="none" w:sz="0" w:space="0" w:color="auto"/>
        <w:right w:val="none" w:sz="0" w:space="0" w:color="auto"/>
      </w:divBdr>
      <w:divsChild>
        <w:div w:id="2071490628">
          <w:marLeft w:val="547"/>
          <w:marRight w:val="0"/>
          <w:marTop w:val="0"/>
          <w:marBottom w:val="0"/>
          <w:divBdr>
            <w:top w:val="none" w:sz="0" w:space="0" w:color="auto"/>
            <w:left w:val="none" w:sz="0" w:space="0" w:color="auto"/>
            <w:bottom w:val="none" w:sz="0" w:space="0" w:color="auto"/>
            <w:right w:val="none" w:sz="0" w:space="0" w:color="auto"/>
          </w:divBdr>
        </w:div>
      </w:divsChild>
    </w:div>
    <w:div w:id="88359187">
      <w:bodyDiv w:val="1"/>
      <w:marLeft w:val="0"/>
      <w:marRight w:val="0"/>
      <w:marTop w:val="0"/>
      <w:marBottom w:val="0"/>
      <w:divBdr>
        <w:top w:val="none" w:sz="0" w:space="0" w:color="auto"/>
        <w:left w:val="none" w:sz="0" w:space="0" w:color="auto"/>
        <w:bottom w:val="none" w:sz="0" w:space="0" w:color="auto"/>
        <w:right w:val="none" w:sz="0" w:space="0" w:color="auto"/>
      </w:divBdr>
    </w:div>
    <w:div w:id="493881844">
      <w:bodyDiv w:val="1"/>
      <w:marLeft w:val="0"/>
      <w:marRight w:val="0"/>
      <w:marTop w:val="0"/>
      <w:marBottom w:val="0"/>
      <w:divBdr>
        <w:top w:val="none" w:sz="0" w:space="0" w:color="auto"/>
        <w:left w:val="none" w:sz="0" w:space="0" w:color="auto"/>
        <w:bottom w:val="none" w:sz="0" w:space="0" w:color="auto"/>
        <w:right w:val="none" w:sz="0" w:space="0" w:color="auto"/>
      </w:divBdr>
      <w:divsChild>
        <w:div w:id="1677919810">
          <w:marLeft w:val="547"/>
          <w:marRight w:val="0"/>
          <w:marTop w:val="0"/>
          <w:marBottom w:val="0"/>
          <w:divBdr>
            <w:top w:val="none" w:sz="0" w:space="0" w:color="auto"/>
            <w:left w:val="none" w:sz="0" w:space="0" w:color="auto"/>
            <w:bottom w:val="none" w:sz="0" w:space="0" w:color="auto"/>
            <w:right w:val="none" w:sz="0" w:space="0" w:color="auto"/>
          </w:divBdr>
        </w:div>
      </w:divsChild>
    </w:div>
    <w:div w:id="773785210">
      <w:bodyDiv w:val="1"/>
      <w:marLeft w:val="0"/>
      <w:marRight w:val="0"/>
      <w:marTop w:val="0"/>
      <w:marBottom w:val="0"/>
      <w:divBdr>
        <w:top w:val="none" w:sz="0" w:space="0" w:color="auto"/>
        <w:left w:val="none" w:sz="0" w:space="0" w:color="auto"/>
        <w:bottom w:val="none" w:sz="0" w:space="0" w:color="auto"/>
        <w:right w:val="none" w:sz="0" w:space="0" w:color="auto"/>
      </w:divBdr>
      <w:divsChild>
        <w:div w:id="339115391">
          <w:marLeft w:val="547"/>
          <w:marRight w:val="0"/>
          <w:marTop w:val="0"/>
          <w:marBottom w:val="0"/>
          <w:divBdr>
            <w:top w:val="none" w:sz="0" w:space="0" w:color="auto"/>
            <w:left w:val="none" w:sz="0" w:space="0" w:color="auto"/>
            <w:bottom w:val="none" w:sz="0" w:space="0" w:color="auto"/>
            <w:right w:val="none" w:sz="0" w:space="0" w:color="auto"/>
          </w:divBdr>
        </w:div>
      </w:divsChild>
    </w:div>
    <w:div w:id="874270761">
      <w:bodyDiv w:val="1"/>
      <w:marLeft w:val="0"/>
      <w:marRight w:val="0"/>
      <w:marTop w:val="0"/>
      <w:marBottom w:val="0"/>
      <w:divBdr>
        <w:top w:val="none" w:sz="0" w:space="0" w:color="auto"/>
        <w:left w:val="none" w:sz="0" w:space="0" w:color="auto"/>
        <w:bottom w:val="none" w:sz="0" w:space="0" w:color="auto"/>
        <w:right w:val="none" w:sz="0" w:space="0" w:color="auto"/>
      </w:divBdr>
    </w:div>
    <w:div w:id="1309162526">
      <w:bodyDiv w:val="1"/>
      <w:marLeft w:val="0"/>
      <w:marRight w:val="0"/>
      <w:marTop w:val="0"/>
      <w:marBottom w:val="0"/>
      <w:divBdr>
        <w:top w:val="none" w:sz="0" w:space="0" w:color="auto"/>
        <w:left w:val="none" w:sz="0" w:space="0" w:color="auto"/>
        <w:bottom w:val="none" w:sz="0" w:space="0" w:color="auto"/>
        <w:right w:val="none" w:sz="0" w:space="0" w:color="auto"/>
      </w:divBdr>
      <w:divsChild>
        <w:div w:id="104689754">
          <w:marLeft w:val="547"/>
          <w:marRight w:val="0"/>
          <w:marTop w:val="0"/>
          <w:marBottom w:val="0"/>
          <w:divBdr>
            <w:top w:val="none" w:sz="0" w:space="0" w:color="auto"/>
            <w:left w:val="none" w:sz="0" w:space="0" w:color="auto"/>
            <w:bottom w:val="none" w:sz="0" w:space="0" w:color="auto"/>
            <w:right w:val="none" w:sz="0" w:space="0" w:color="auto"/>
          </w:divBdr>
        </w:div>
      </w:divsChild>
    </w:div>
    <w:div w:id="1667515477">
      <w:bodyDiv w:val="1"/>
      <w:marLeft w:val="0"/>
      <w:marRight w:val="0"/>
      <w:marTop w:val="0"/>
      <w:marBottom w:val="0"/>
      <w:divBdr>
        <w:top w:val="none" w:sz="0" w:space="0" w:color="auto"/>
        <w:left w:val="none" w:sz="0" w:space="0" w:color="auto"/>
        <w:bottom w:val="none" w:sz="0" w:space="0" w:color="auto"/>
        <w:right w:val="none" w:sz="0" w:space="0" w:color="auto"/>
      </w:divBdr>
      <w:divsChild>
        <w:div w:id="1041785428">
          <w:marLeft w:val="547"/>
          <w:marRight w:val="0"/>
          <w:marTop w:val="0"/>
          <w:marBottom w:val="0"/>
          <w:divBdr>
            <w:top w:val="none" w:sz="0" w:space="0" w:color="auto"/>
            <w:left w:val="none" w:sz="0" w:space="0" w:color="auto"/>
            <w:bottom w:val="none" w:sz="0" w:space="0" w:color="auto"/>
            <w:right w:val="none" w:sz="0" w:space="0" w:color="auto"/>
          </w:divBdr>
        </w:div>
      </w:divsChild>
    </w:div>
    <w:div w:id="1948853468">
      <w:bodyDiv w:val="1"/>
      <w:marLeft w:val="0"/>
      <w:marRight w:val="0"/>
      <w:marTop w:val="0"/>
      <w:marBottom w:val="0"/>
      <w:divBdr>
        <w:top w:val="none" w:sz="0" w:space="0" w:color="auto"/>
        <w:left w:val="none" w:sz="0" w:space="0" w:color="auto"/>
        <w:bottom w:val="none" w:sz="0" w:space="0" w:color="auto"/>
        <w:right w:val="none" w:sz="0" w:space="0" w:color="auto"/>
      </w:divBdr>
      <w:divsChild>
        <w:div w:id="267737659">
          <w:marLeft w:val="0"/>
          <w:marRight w:val="0"/>
          <w:marTop w:val="0"/>
          <w:marBottom w:val="0"/>
          <w:divBdr>
            <w:top w:val="none" w:sz="0" w:space="0" w:color="auto"/>
            <w:left w:val="none" w:sz="0" w:space="0" w:color="auto"/>
            <w:bottom w:val="none" w:sz="0" w:space="0" w:color="auto"/>
            <w:right w:val="none" w:sz="0" w:space="0" w:color="auto"/>
          </w:divBdr>
        </w:div>
        <w:div w:id="561060465">
          <w:marLeft w:val="0"/>
          <w:marRight w:val="0"/>
          <w:marTop w:val="0"/>
          <w:marBottom w:val="0"/>
          <w:divBdr>
            <w:top w:val="none" w:sz="0" w:space="0" w:color="auto"/>
            <w:left w:val="none" w:sz="0" w:space="0" w:color="auto"/>
            <w:bottom w:val="none" w:sz="0" w:space="0" w:color="auto"/>
            <w:right w:val="none" w:sz="0" w:space="0" w:color="auto"/>
          </w:divBdr>
        </w:div>
      </w:divsChild>
    </w:div>
    <w:div w:id="21440777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B053B-A07A-458B-80C6-8DEC6253E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5205</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Synthesis</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Chrysoula Hard-Kosm</dc:creator>
  <cp:lastModifiedBy>elli pagourtzi</cp:lastModifiedBy>
  <cp:revision>2</cp:revision>
  <cp:lastPrinted>2016-12-19T14:03:00Z</cp:lastPrinted>
  <dcterms:created xsi:type="dcterms:W3CDTF">2017-09-20T09:11:00Z</dcterms:created>
  <dcterms:modified xsi:type="dcterms:W3CDTF">2017-09-20T09:11:00Z</dcterms:modified>
</cp:coreProperties>
</file>